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E90" w:rsidRDefault="00CC6E90" w:rsidP="00CC6E90">
      <w:pPr>
        <w:spacing w:line="360" w:lineRule="auto"/>
        <w:jc w:val="both"/>
      </w:pPr>
      <w:r>
        <w:rPr>
          <w:rFonts w:ascii="Arial" w:hAnsi="Arial" w:cs="Arial"/>
          <w:b/>
          <w:bCs/>
          <w:sz w:val="24"/>
          <w:szCs w:val="24"/>
        </w:rPr>
        <w:t>Simposio 1</w:t>
      </w:r>
      <w:r>
        <w:rPr>
          <w:rFonts w:ascii="Arial" w:hAnsi="Arial" w:cs="Arial"/>
          <w:b/>
          <w:bCs/>
          <w:sz w:val="24"/>
          <w:szCs w:val="24"/>
        </w:rPr>
        <w:t>.</w:t>
      </w:r>
      <w:r>
        <w:rPr>
          <w:rFonts w:ascii="Arial" w:hAnsi="Arial" w:cs="Arial"/>
          <w:sz w:val="24"/>
          <w:szCs w:val="24"/>
        </w:rPr>
        <w:t xml:space="preserve"> </w:t>
      </w:r>
      <w:r w:rsidRPr="00CC6E90">
        <w:rPr>
          <w:rFonts w:ascii="Arial" w:hAnsi="Arial" w:cs="Arial"/>
          <w:sz w:val="24"/>
          <w:szCs w:val="24"/>
        </w:rPr>
        <w:t>La Educación Superior y los retos para el futuro: internacionalización, transformación digital, financiación y perspectiva informacional.</w:t>
      </w:r>
    </w:p>
    <w:p w:rsidR="00CC6E90" w:rsidRDefault="00CC6E90" w:rsidP="00CC6E90">
      <w:pPr>
        <w:spacing w:after="0" w:line="240" w:lineRule="auto"/>
        <w:jc w:val="both"/>
        <w:rPr>
          <w:rFonts w:ascii="Arial" w:hAnsi="Arial" w:cs="Arial"/>
          <w:b/>
          <w:bCs/>
          <w:sz w:val="24"/>
          <w:szCs w:val="24"/>
        </w:rPr>
      </w:pPr>
      <w:r w:rsidRPr="00CC6E90">
        <w:rPr>
          <w:rFonts w:ascii="Arial" w:hAnsi="Arial" w:cs="Arial"/>
          <w:b/>
          <w:bCs/>
          <w:sz w:val="24"/>
          <w:szCs w:val="24"/>
        </w:rPr>
        <w:t>X Taller Internacional “La transformación digital y las tecnologías de avanzada en la Educación Superior”.</w:t>
      </w:r>
    </w:p>
    <w:p w:rsidR="00CC6E90" w:rsidRDefault="00CC6E90" w:rsidP="00CC6E90">
      <w:pPr>
        <w:spacing w:after="0" w:line="240" w:lineRule="auto"/>
        <w:jc w:val="both"/>
        <w:rPr>
          <w:rFonts w:ascii="Arial" w:hAnsi="Arial" w:cs="Arial"/>
          <w:sz w:val="24"/>
          <w:szCs w:val="24"/>
        </w:rPr>
      </w:pPr>
    </w:p>
    <w:p w:rsidR="00CC6E90" w:rsidRDefault="00CC6E90" w:rsidP="00CC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bookmarkStart w:id="0" w:name="_GoBack"/>
      <w:r>
        <w:rPr>
          <w:rFonts w:ascii="Arial" w:hAnsi="Arial" w:cs="Arial"/>
          <w:sz w:val="24"/>
          <w:szCs w:val="24"/>
        </w:rPr>
        <w:t>Recomendación de e</w:t>
      </w:r>
      <w:r>
        <w:rPr>
          <w:rFonts w:ascii="Arial" w:eastAsia="Times New Roman" w:hAnsi="Arial" w:cs="Arial"/>
          <w:sz w:val="24"/>
          <w:szCs w:val="24"/>
          <w:lang w:eastAsia="es-ES"/>
        </w:rPr>
        <w:t>ducación y ciencia abierta</w:t>
      </w:r>
      <w:r>
        <w:rPr>
          <w:rFonts w:ascii="Arial" w:hAnsi="Arial" w:cs="Arial"/>
          <w:sz w:val="24"/>
          <w:szCs w:val="24"/>
        </w:rPr>
        <w:t xml:space="preserve"> para las universidades cubanas. </w:t>
      </w:r>
    </w:p>
    <w:bookmarkEnd w:id="0"/>
    <w:p w:rsidR="00CC6E90" w:rsidRDefault="00CC6E90" w:rsidP="00CC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rPr>
      </w:pPr>
    </w:p>
    <w:p w:rsidR="00CC6E90" w:rsidRPr="002463FB" w:rsidRDefault="00CC6E90" w:rsidP="00CC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4"/>
          <w:szCs w:val="24"/>
          <w:lang w:val="en-GB"/>
        </w:rPr>
      </w:pPr>
      <w:r w:rsidRPr="002463FB">
        <w:rPr>
          <w:rFonts w:ascii="Arial" w:hAnsi="Arial" w:cs="Arial"/>
          <w:sz w:val="24"/>
          <w:szCs w:val="24"/>
          <w:lang w:val="en-GB"/>
        </w:rPr>
        <w:t>Recommendation of education and open science for Cuban universities.</w:t>
      </w:r>
    </w:p>
    <w:p w:rsidR="00CC6E90" w:rsidRPr="002463FB" w:rsidRDefault="00CC6E90" w:rsidP="00CC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hAnsi="Arial" w:cs="Arial"/>
          <w:sz w:val="28"/>
          <w:szCs w:val="28"/>
          <w:lang w:val="en-GB"/>
        </w:rPr>
      </w:pPr>
    </w:p>
    <w:p w:rsidR="00CC6E90" w:rsidRDefault="00CC6E90" w:rsidP="00CC6E90">
      <w:pPr>
        <w:spacing w:after="0" w:line="240" w:lineRule="auto"/>
        <w:jc w:val="center"/>
        <w:rPr>
          <w:rFonts w:ascii="Arial" w:hAnsi="Arial" w:cs="Arial"/>
          <w:b/>
          <w:sz w:val="24"/>
          <w:szCs w:val="24"/>
        </w:rPr>
      </w:pPr>
      <w:r>
        <w:rPr>
          <w:rFonts w:ascii="Arial" w:hAnsi="Arial" w:cs="Arial"/>
          <w:b/>
          <w:sz w:val="24"/>
          <w:szCs w:val="24"/>
        </w:rPr>
        <w:t xml:space="preserve">Mabel C. Rodríguez Poo, </w:t>
      </w:r>
    </w:p>
    <w:p w:rsidR="00CC6E90" w:rsidRDefault="00CC6E90" w:rsidP="00CC6E90">
      <w:pPr>
        <w:spacing w:after="0" w:line="240" w:lineRule="auto"/>
        <w:jc w:val="center"/>
        <w:rPr>
          <w:rFonts w:ascii="Arial" w:hAnsi="Arial" w:cs="Arial"/>
          <w:sz w:val="24"/>
          <w:szCs w:val="24"/>
        </w:rPr>
      </w:pPr>
      <w:r>
        <w:rPr>
          <w:rFonts w:ascii="Arial" w:hAnsi="Arial" w:cs="Arial"/>
          <w:sz w:val="24"/>
          <w:szCs w:val="24"/>
        </w:rPr>
        <w:t xml:space="preserve">Universidad de Pinar del Río ¨Hermanos Saíz Montes de Oca¨, Cuba. </w:t>
      </w:r>
    </w:p>
    <w:p w:rsidR="00CC6E90" w:rsidRDefault="00CC6E90" w:rsidP="00CC6E90">
      <w:pPr>
        <w:spacing w:after="0" w:line="240" w:lineRule="auto"/>
        <w:jc w:val="center"/>
        <w:rPr>
          <w:rFonts w:ascii="Arial" w:hAnsi="Arial" w:cs="Arial"/>
          <w:sz w:val="24"/>
          <w:szCs w:val="24"/>
        </w:rPr>
      </w:pPr>
      <w:r>
        <w:rPr>
          <w:rFonts w:ascii="Arial" w:hAnsi="Arial" w:cs="Arial"/>
          <w:sz w:val="24"/>
          <w:szCs w:val="24"/>
        </w:rPr>
        <w:t>Directora de Informatización, Comunicación y Archivo</w:t>
      </w:r>
    </w:p>
    <w:p w:rsidR="00CC6E90" w:rsidRDefault="00CC6E90" w:rsidP="00CC6E90">
      <w:pPr>
        <w:spacing w:after="0" w:line="480" w:lineRule="auto"/>
        <w:jc w:val="center"/>
      </w:pPr>
      <w:hyperlink r:id="rId7" w:history="1">
        <w:r>
          <w:rPr>
            <w:rStyle w:val="Hipervnculo"/>
            <w:rFonts w:ascii="Arial" w:hAnsi="Arial" w:cs="Arial"/>
            <w:sz w:val="24"/>
            <w:szCs w:val="24"/>
          </w:rPr>
          <w:t>mabel@upr.edu.cu</w:t>
        </w:r>
      </w:hyperlink>
    </w:p>
    <w:p w:rsidR="00CC6E90" w:rsidRDefault="00CC6E90" w:rsidP="00CC6E90">
      <w:pPr>
        <w:spacing w:after="0" w:line="240" w:lineRule="auto"/>
        <w:jc w:val="center"/>
      </w:pPr>
      <w:proofErr w:type="spellStart"/>
      <w:r>
        <w:rPr>
          <w:rStyle w:val="markedcontent"/>
          <w:rFonts w:ascii="Arial" w:hAnsi="Arial" w:cs="Arial"/>
          <w:sz w:val="24"/>
          <w:szCs w:val="24"/>
        </w:rPr>
        <w:t>Dra.C</w:t>
      </w:r>
      <w:proofErr w:type="spellEnd"/>
      <w:r>
        <w:rPr>
          <w:rStyle w:val="markedcontent"/>
          <w:rFonts w:ascii="Arial" w:hAnsi="Arial" w:cs="Arial"/>
          <w:sz w:val="24"/>
          <w:szCs w:val="24"/>
        </w:rPr>
        <w:t xml:space="preserve">. </w:t>
      </w:r>
      <w:proofErr w:type="spellStart"/>
      <w:r>
        <w:rPr>
          <w:rFonts w:ascii="Arial" w:hAnsi="Arial" w:cs="Arial"/>
          <w:bCs/>
          <w:sz w:val="24"/>
          <w:szCs w:val="24"/>
        </w:rPr>
        <w:t>Ognara</w:t>
      </w:r>
      <w:proofErr w:type="spellEnd"/>
      <w:r>
        <w:rPr>
          <w:rFonts w:ascii="Arial" w:hAnsi="Arial" w:cs="Arial"/>
          <w:bCs/>
          <w:sz w:val="24"/>
          <w:szCs w:val="24"/>
        </w:rPr>
        <w:t xml:space="preserve"> García </w:t>
      </w:r>
      <w:proofErr w:type="spellStart"/>
      <w:r>
        <w:rPr>
          <w:rFonts w:ascii="Arial" w:hAnsi="Arial" w:cs="Arial"/>
          <w:bCs/>
          <w:sz w:val="24"/>
          <w:szCs w:val="24"/>
        </w:rPr>
        <w:t>García</w:t>
      </w:r>
      <w:proofErr w:type="spellEnd"/>
      <w:r>
        <w:rPr>
          <w:rStyle w:val="markedcontent"/>
          <w:rFonts w:ascii="Arial" w:hAnsi="Arial" w:cs="Arial"/>
          <w:sz w:val="24"/>
          <w:szCs w:val="24"/>
        </w:rPr>
        <w:t xml:space="preserve"> UC, </w:t>
      </w:r>
      <w:proofErr w:type="spellStart"/>
      <w:r>
        <w:rPr>
          <w:rStyle w:val="markedcontent"/>
          <w:rFonts w:ascii="Arial" w:hAnsi="Arial" w:cs="Arial"/>
          <w:sz w:val="24"/>
          <w:szCs w:val="24"/>
        </w:rPr>
        <w:t>Dra.C</w:t>
      </w:r>
      <w:proofErr w:type="spellEnd"/>
      <w:r>
        <w:rPr>
          <w:rStyle w:val="markedcontent"/>
          <w:rFonts w:ascii="Arial" w:hAnsi="Arial" w:cs="Arial"/>
          <w:sz w:val="24"/>
          <w:szCs w:val="24"/>
        </w:rPr>
        <w:t xml:space="preserve">. </w:t>
      </w:r>
      <w:proofErr w:type="spellStart"/>
      <w:r>
        <w:rPr>
          <w:rStyle w:val="markedcontent"/>
          <w:rFonts w:ascii="Arial" w:hAnsi="Arial" w:cs="Arial"/>
          <w:sz w:val="24"/>
          <w:szCs w:val="24"/>
        </w:rPr>
        <w:t>Grizly</w:t>
      </w:r>
      <w:proofErr w:type="spellEnd"/>
      <w:r>
        <w:rPr>
          <w:rStyle w:val="markedcontent"/>
          <w:rFonts w:ascii="Arial" w:hAnsi="Arial" w:cs="Arial"/>
          <w:sz w:val="24"/>
          <w:szCs w:val="24"/>
        </w:rPr>
        <w:t xml:space="preserve"> Meneses Placeres UCLV </w:t>
      </w:r>
      <w:proofErr w:type="spellStart"/>
      <w:r>
        <w:rPr>
          <w:rStyle w:val="markedcontent"/>
          <w:rFonts w:ascii="Arial" w:hAnsi="Arial" w:cs="Arial"/>
          <w:sz w:val="24"/>
          <w:szCs w:val="24"/>
        </w:rPr>
        <w:t>Dr.C</w:t>
      </w:r>
      <w:proofErr w:type="spellEnd"/>
      <w:r>
        <w:rPr>
          <w:rStyle w:val="markedcontent"/>
          <w:rFonts w:ascii="Arial" w:hAnsi="Arial" w:cs="Arial"/>
          <w:sz w:val="24"/>
          <w:szCs w:val="24"/>
        </w:rPr>
        <w:t xml:space="preserve">. Febe </w:t>
      </w:r>
      <w:proofErr w:type="spellStart"/>
      <w:r>
        <w:rPr>
          <w:rStyle w:val="markedcontent"/>
          <w:rFonts w:ascii="Arial" w:hAnsi="Arial" w:cs="Arial"/>
          <w:sz w:val="24"/>
          <w:szCs w:val="24"/>
        </w:rPr>
        <w:t>Angel</w:t>
      </w:r>
      <w:proofErr w:type="spellEnd"/>
      <w:r>
        <w:rPr>
          <w:rStyle w:val="markedcontent"/>
          <w:rFonts w:ascii="Arial" w:hAnsi="Arial" w:cs="Arial"/>
          <w:sz w:val="24"/>
          <w:szCs w:val="24"/>
        </w:rPr>
        <w:t xml:space="preserve"> Ciudad Ricardo UCI, </w:t>
      </w:r>
    </w:p>
    <w:p w:rsidR="00CC6E90" w:rsidRDefault="00CC6E90" w:rsidP="00CC6E90">
      <w:pPr>
        <w:spacing w:after="0" w:line="240" w:lineRule="auto"/>
        <w:rPr>
          <w:rFonts w:ascii="Arial" w:hAnsi="Arial" w:cs="Arial"/>
          <w:sz w:val="24"/>
          <w:szCs w:val="24"/>
        </w:rPr>
      </w:pPr>
    </w:p>
    <w:p w:rsidR="00CC6E90" w:rsidRDefault="00CC6E90" w:rsidP="00CC6E90">
      <w:pPr>
        <w:spacing w:after="0" w:line="240" w:lineRule="auto"/>
        <w:rPr>
          <w:rFonts w:ascii="Arial" w:hAnsi="Arial" w:cs="Arial"/>
          <w:sz w:val="24"/>
          <w:szCs w:val="24"/>
        </w:rPr>
      </w:pPr>
    </w:p>
    <w:p w:rsidR="00CC6E90" w:rsidRDefault="00CC6E90" w:rsidP="00CC6E90">
      <w:pPr>
        <w:spacing w:after="0" w:line="240" w:lineRule="auto"/>
        <w:jc w:val="both"/>
        <w:rPr>
          <w:rFonts w:ascii="Arial" w:hAnsi="Arial" w:cs="Arial"/>
          <w:b/>
          <w:sz w:val="24"/>
          <w:szCs w:val="24"/>
        </w:rPr>
      </w:pPr>
      <w:r>
        <w:rPr>
          <w:rFonts w:ascii="Arial" w:hAnsi="Arial" w:cs="Arial"/>
          <w:b/>
          <w:sz w:val="24"/>
          <w:szCs w:val="24"/>
        </w:rPr>
        <w:t>Resumen:</w:t>
      </w:r>
    </w:p>
    <w:p w:rsidR="00CC6E90" w:rsidRDefault="00CC6E90" w:rsidP="00CC6E90">
      <w:pPr>
        <w:pStyle w:val="NormalWeb"/>
        <w:spacing w:before="0" w:after="0"/>
        <w:jc w:val="both"/>
      </w:pPr>
      <w:r>
        <w:rPr>
          <w:rFonts w:ascii="Arial" w:hAnsi="Arial" w:cs="Arial"/>
        </w:rPr>
        <w:t xml:space="preserve">En un mundo cada vez más conectado y digitalizado, la ciencia y la educación están adoptando nuevos enfoques para asegurar que el conocimiento alcance en los estudiantes, científicos, educadores y ciudadanos de todo el mundo. Las estrategias de ciencia y educación abierta han surgido como una alternativa a los modelos tradicionales de enseñanza, investigación y divulgación para promover el compartir y reutilizar el conocimiento entre instituciones educativas y de investigación, creando de esta forma una comunidad global. El presente trabajo tiene como objetivo realizar una propuesta de recomendación de Educación y Ciencia Abierta para el Ministerio de Educación Superior (MES) de la República de Cuba que promueva </w:t>
      </w:r>
      <w:r>
        <w:rPr>
          <w:rStyle w:val="y2iqfc"/>
          <w:rFonts w:ascii="Arial" w:hAnsi="Arial" w:cs="Arial"/>
        </w:rPr>
        <w:t xml:space="preserve">el desarrollo de acciones para el fortalecimiento en las universidades los procesos de formación e investigación a partir de la adopción de este enfoque. </w:t>
      </w:r>
      <w:r>
        <w:rPr>
          <w:rFonts w:ascii="Arial" w:hAnsi="Arial" w:cs="Arial"/>
        </w:rPr>
        <w:t>Estas recomendaciones son el resultado del trabajo colectivo desarrollado por el proyecto (ELINF) “Las Tecnologías de la Información y las Comunicaciones (</w:t>
      </w:r>
      <w:proofErr w:type="spellStart"/>
      <w:r>
        <w:rPr>
          <w:rFonts w:ascii="Arial" w:hAnsi="Arial" w:cs="Arial"/>
        </w:rPr>
        <w:t>TICs</w:t>
      </w:r>
      <w:proofErr w:type="spellEnd"/>
      <w:r>
        <w:rPr>
          <w:rFonts w:ascii="Arial" w:hAnsi="Arial" w:cs="Arial"/>
        </w:rPr>
        <w:t>) al servicio de los procesos educativos y la gestión del conocimiento en la Educación Superior” como parte del Programa de Red de Cooperación Interuniversitaria cubano - flamenca REDTIC.</w:t>
      </w:r>
    </w:p>
    <w:p w:rsidR="00CC6E90" w:rsidRDefault="00CC6E90" w:rsidP="00CC6E90">
      <w:pPr>
        <w:pStyle w:val="NormalWeb"/>
        <w:spacing w:before="0" w:after="0"/>
        <w:jc w:val="both"/>
        <w:rPr>
          <w:rFonts w:ascii="Arial" w:hAnsi="Arial" w:cs="Arial"/>
        </w:rPr>
      </w:pPr>
    </w:p>
    <w:p w:rsidR="00CC6E90" w:rsidRDefault="00CC6E90" w:rsidP="00CC6E90">
      <w:pPr>
        <w:pStyle w:val="NormalWeb"/>
        <w:spacing w:before="0" w:after="0"/>
        <w:jc w:val="both"/>
        <w:rPr>
          <w:rFonts w:ascii="Arial" w:hAnsi="Arial" w:cs="Arial"/>
        </w:rPr>
      </w:pPr>
    </w:p>
    <w:p w:rsidR="00CC6E90" w:rsidRDefault="00CC6E90" w:rsidP="00CC6E90">
      <w:pPr>
        <w:spacing w:after="0" w:line="240" w:lineRule="auto"/>
        <w:jc w:val="both"/>
        <w:rPr>
          <w:rFonts w:ascii="Arial" w:hAnsi="Arial" w:cs="Arial"/>
          <w:b/>
          <w:sz w:val="24"/>
          <w:szCs w:val="24"/>
        </w:rPr>
      </w:pPr>
      <w:r>
        <w:rPr>
          <w:rFonts w:ascii="Arial" w:hAnsi="Arial" w:cs="Arial"/>
          <w:b/>
          <w:sz w:val="24"/>
          <w:szCs w:val="24"/>
        </w:rPr>
        <w:t>Palabras Claves: EDUCACION y CIENCIA ABIERTA, UNIVERSIDADES, CUBA</w:t>
      </w:r>
    </w:p>
    <w:p w:rsidR="00CC6E90" w:rsidRDefault="00CC6E90" w:rsidP="00CC6E90">
      <w:pPr>
        <w:spacing w:after="0" w:line="240" w:lineRule="auto"/>
        <w:jc w:val="both"/>
        <w:rPr>
          <w:rFonts w:ascii="Arial" w:hAnsi="Arial" w:cs="Arial"/>
          <w:b/>
          <w:sz w:val="24"/>
          <w:szCs w:val="24"/>
        </w:rPr>
      </w:pPr>
    </w:p>
    <w:p w:rsidR="00CC6E90" w:rsidRDefault="00CC6E90" w:rsidP="00CC6E90">
      <w:pPr>
        <w:spacing w:after="0" w:line="240" w:lineRule="auto"/>
        <w:jc w:val="both"/>
        <w:rPr>
          <w:rFonts w:ascii="Arial" w:hAnsi="Arial" w:cs="Arial"/>
          <w:b/>
          <w:sz w:val="24"/>
          <w:szCs w:val="24"/>
        </w:rPr>
      </w:pPr>
    </w:p>
    <w:p w:rsidR="00CC6E90" w:rsidRDefault="00CC6E90" w:rsidP="00CC6E90">
      <w:pPr>
        <w:spacing w:after="0" w:line="240" w:lineRule="auto"/>
        <w:jc w:val="both"/>
        <w:rPr>
          <w:rFonts w:ascii="Arial" w:hAnsi="Arial" w:cs="Arial"/>
          <w:b/>
          <w:sz w:val="24"/>
          <w:szCs w:val="24"/>
          <w:lang w:val="en"/>
        </w:rPr>
      </w:pPr>
      <w:r>
        <w:rPr>
          <w:rFonts w:ascii="Arial" w:hAnsi="Arial" w:cs="Arial"/>
          <w:b/>
          <w:sz w:val="24"/>
          <w:szCs w:val="24"/>
          <w:lang w:val="en"/>
        </w:rPr>
        <w:t>Summary:</w:t>
      </w:r>
    </w:p>
    <w:p w:rsidR="00CC6E90" w:rsidRDefault="00CC6E90" w:rsidP="00CC6E90">
      <w:pPr>
        <w:spacing w:after="0" w:line="240" w:lineRule="auto"/>
        <w:jc w:val="both"/>
        <w:rPr>
          <w:rFonts w:ascii="Arial" w:hAnsi="Arial" w:cs="Arial"/>
          <w:bCs/>
          <w:sz w:val="24"/>
          <w:szCs w:val="24"/>
          <w:lang w:val="en"/>
        </w:rPr>
      </w:pPr>
      <w:r>
        <w:rPr>
          <w:rFonts w:ascii="Arial" w:hAnsi="Arial" w:cs="Arial"/>
          <w:bCs/>
          <w:sz w:val="24"/>
          <w:szCs w:val="24"/>
          <w:lang w:val="en"/>
        </w:rPr>
        <w:t xml:space="preserve">In an increasingly connected and digitalized world, science and education are taking new approaches to ensure that knowledge reaches students, scientists, educators and citizens around the world. Open science and education strategies have emerged as an alternative to traditional teaching, research and dissemination models to promote the sharing and reuse of knowledge between educational and research institutions, thus </w:t>
      </w:r>
      <w:r>
        <w:rPr>
          <w:rFonts w:ascii="Arial" w:hAnsi="Arial" w:cs="Arial"/>
          <w:bCs/>
          <w:sz w:val="24"/>
          <w:szCs w:val="24"/>
          <w:lang w:val="en"/>
        </w:rPr>
        <w:lastRenderedPageBreak/>
        <w:t>creating a global community. The objective of this work is to make a proposal for a recommendation of Open Education and Science for the Ministry of Higher Education (MES) of the Republic of Cuba that promotes the development of actions to strengthen the training and research processes in universities based on of adopting this approach. These recommendations are the result of the collective work developed by the project (ELINF) “Information and Communications Technologies (ICTs) at the service of educational processes and knowledge management in Higher Education” as part of the Network Program. Cuban-Flemish Interuniversity Cooperation REDTIC.</w:t>
      </w:r>
    </w:p>
    <w:p w:rsidR="00CC6E90" w:rsidRDefault="00CC6E90" w:rsidP="00CC6E90">
      <w:pPr>
        <w:spacing w:after="0" w:line="240" w:lineRule="auto"/>
        <w:jc w:val="both"/>
        <w:rPr>
          <w:rFonts w:ascii="Arial" w:hAnsi="Arial" w:cs="Arial"/>
          <w:b/>
          <w:sz w:val="24"/>
          <w:szCs w:val="24"/>
          <w:lang w:val="en"/>
        </w:rPr>
      </w:pPr>
    </w:p>
    <w:p w:rsidR="00CC6E90" w:rsidRDefault="00CC6E90" w:rsidP="00CC6E90">
      <w:pPr>
        <w:spacing w:after="0" w:line="240" w:lineRule="auto"/>
        <w:jc w:val="both"/>
        <w:rPr>
          <w:rFonts w:ascii="Arial" w:hAnsi="Arial" w:cs="Arial"/>
          <w:b/>
          <w:sz w:val="24"/>
          <w:szCs w:val="24"/>
          <w:lang w:val="en"/>
        </w:rPr>
      </w:pPr>
    </w:p>
    <w:p w:rsidR="00CC6E90" w:rsidRPr="002463FB" w:rsidRDefault="00CC6E90" w:rsidP="00CC6E90">
      <w:pPr>
        <w:spacing w:after="0" w:line="240" w:lineRule="auto"/>
        <w:jc w:val="both"/>
        <w:rPr>
          <w:lang w:val="en-GB"/>
        </w:rPr>
      </w:pPr>
      <w:r>
        <w:rPr>
          <w:rFonts w:ascii="Arial" w:hAnsi="Arial" w:cs="Arial"/>
          <w:b/>
          <w:sz w:val="24"/>
          <w:szCs w:val="24"/>
          <w:lang w:val="en"/>
        </w:rPr>
        <w:t xml:space="preserve">Keywords: </w:t>
      </w:r>
      <w:r>
        <w:rPr>
          <w:rFonts w:ascii="Arial" w:hAnsi="Arial" w:cs="Arial"/>
          <w:bCs/>
          <w:sz w:val="24"/>
          <w:szCs w:val="24"/>
          <w:lang w:val="en"/>
        </w:rPr>
        <w:t>EDUCATION and OPEN SCIENCE, UNIVERSITIES, CUBA</w:t>
      </w:r>
    </w:p>
    <w:p w:rsidR="00CC6E90" w:rsidRDefault="00CC6E90" w:rsidP="00CC6E90">
      <w:pPr>
        <w:spacing w:after="0" w:line="240" w:lineRule="auto"/>
        <w:jc w:val="both"/>
        <w:rPr>
          <w:rFonts w:ascii="Arial" w:hAnsi="Arial" w:cs="Arial"/>
          <w:b/>
          <w:sz w:val="24"/>
          <w:szCs w:val="24"/>
          <w:lang w:val="en-GB"/>
        </w:rPr>
      </w:pPr>
    </w:p>
    <w:p w:rsidR="00CC6E90" w:rsidRDefault="00CC6E90" w:rsidP="00CC6E90">
      <w:pPr>
        <w:spacing w:after="0" w:line="240" w:lineRule="auto"/>
        <w:jc w:val="both"/>
        <w:rPr>
          <w:rFonts w:ascii="Arial" w:hAnsi="Arial" w:cs="Arial"/>
          <w:b/>
          <w:sz w:val="24"/>
          <w:szCs w:val="24"/>
          <w:lang w:val="en-GB"/>
        </w:rPr>
      </w:pPr>
    </w:p>
    <w:p w:rsidR="00CC6E90" w:rsidRDefault="00CC6E90" w:rsidP="00CC6E90">
      <w:pPr>
        <w:spacing w:after="0" w:line="240" w:lineRule="auto"/>
        <w:jc w:val="both"/>
        <w:rPr>
          <w:rFonts w:ascii="Arial" w:hAnsi="Arial" w:cs="Arial"/>
          <w:b/>
          <w:sz w:val="24"/>
          <w:szCs w:val="24"/>
          <w:lang w:val="en-GB"/>
        </w:rPr>
      </w:pPr>
    </w:p>
    <w:p w:rsidR="00CC6E90" w:rsidRDefault="00CC6E90" w:rsidP="00CC6E90">
      <w:pPr>
        <w:spacing w:after="0" w:line="240" w:lineRule="auto"/>
        <w:rPr>
          <w:rFonts w:ascii="Arial" w:hAnsi="Arial" w:cs="Arial"/>
          <w:b/>
          <w:sz w:val="24"/>
          <w:szCs w:val="24"/>
        </w:rPr>
      </w:pPr>
      <w:r>
        <w:rPr>
          <w:rFonts w:ascii="Arial" w:hAnsi="Arial" w:cs="Arial"/>
          <w:b/>
          <w:sz w:val="24"/>
          <w:szCs w:val="24"/>
        </w:rPr>
        <w:t>INTRODUCCION</w:t>
      </w:r>
    </w:p>
    <w:p w:rsidR="00CC6E90" w:rsidRDefault="00CC6E90" w:rsidP="00CC6E90">
      <w:pPr>
        <w:spacing w:after="0" w:line="240" w:lineRule="auto"/>
        <w:rPr>
          <w:rFonts w:ascii="Arial" w:hAnsi="Arial" w:cs="Arial"/>
          <w:b/>
          <w:sz w:val="24"/>
          <w:szCs w:val="24"/>
        </w:rPr>
      </w:pPr>
    </w:p>
    <w:p w:rsidR="00CC6E90" w:rsidRDefault="00CC6E90" w:rsidP="00CC6E90">
      <w:pPr>
        <w:spacing w:after="0" w:line="240" w:lineRule="auto"/>
        <w:jc w:val="both"/>
      </w:pPr>
      <w:r>
        <w:rPr>
          <w:rFonts w:ascii="Arial" w:hAnsi="Arial" w:cs="Arial"/>
          <w:sz w:val="24"/>
          <w:szCs w:val="24"/>
        </w:rPr>
        <w:t xml:space="preserve">Tomando como referente las recomendaciones que declara la UNESCO para estos tópicos, los principales </w:t>
      </w:r>
      <w:r>
        <w:rPr>
          <w:rFonts w:ascii="Arial" w:hAnsi="Arial" w:cs="Arial"/>
          <w:b/>
          <w:i/>
          <w:sz w:val="24"/>
          <w:szCs w:val="24"/>
        </w:rPr>
        <w:t>objetivos</w:t>
      </w:r>
      <w:r>
        <w:rPr>
          <w:rFonts w:ascii="Arial" w:hAnsi="Arial" w:cs="Arial"/>
          <w:sz w:val="24"/>
          <w:szCs w:val="24"/>
        </w:rPr>
        <w:t xml:space="preserve"> y </w:t>
      </w:r>
      <w:r>
        <w:rPr>
          <w:rFonts w:ascii="Arial" w:hAnsi="Arial" w:cs="Arial"/>
          <w:b/>
          <w:i/>
          <w:sz w:val="24"/>
          <w:szCs w:val="24"/>
        </w:rPr>
        <w:t>campos de acción</w:t>
      </w:r>
      <w:r>
        <w:rPr>
          <w:rFonts w:ascii="Arial" w:hAnsi="Arial" w:cs="Arial"/>
          <w:sz w:val="24"/>
          <w:szCs w:val="24"/>
        </w:rPr>
        <w:t xml:space="preserve"> de la presente </w:t>
      </w:r>
      <w:r>
        <w:rPr>
          <w:rFonts w:ascii="Arial" w:hAnsi="Arial" w:cs="Arial"/>
          <w:b/>
          <w:sz w:val="24"/>
          <w:szCs w:val="24"/>
        </w:rPr>
        <w:t xml:space="preserve">RECOMENDACIÓN </w:t>
      </w:r>
      <w:r>
        <w:rPr>
          <w:rFonts w:ascii="Arial" w:hAnsi="Arial" w:cs="Arial"/>
          <w:sz w:val="24"/>
          <w:szCs w:val="24"/>
        </w:rPr>
        <w:t>para las universidades cubanas serían los siguientes:</w:t>
      </w:r>
    </w:p>
    <w:p w:rsidR="00CC6E90" w:rsidRDefault="00CC6E90" w:rsidP="00CC6E90">
      <w:pPr>
        <w:numPr>
          <w:ilvl w:val="0"/>
          <w:numId w:val="1"/>
        </w:numPr>
        <w:spacing w:after="0" w:line="276" w:lineRule="auto"/>
        <w:jc w:val="both"/>
        <w:rPr>
          <w:rFonts w:ascii="Arial" w:hAnsi="Arial" w:cs="Arial"/>
          <w:sz w:val="24"/>
          <w:szCs w:val="24"/>
        </w:rPr>
      </w:pPr>
      <w:r>
        <w:rPr>
          <w:rFonts w:ascii="Arial" w:hAnsi="Arial" w:cs="Arial"/>
          <w:sz w:val="24"/>
          <w:szCs w:val="24"/>
        </w:rPr>
        <w:t>Crear un entorno normativo propicio para la ciencia abierta;</w:t>
      </w:r>
    </w:p>
    <w:p w:rsidR="00CC6E90" w:rsidRDefault="00CC6E90" w:rsidP="00CC6E90">
      <w:pPr>
        <w:numPr>
          <w:ilvl w:val="0"/>
          <w:numId w:val="1"/>
        </w:numPr>
        <w:spacing w:after="0" w:line="276" w:lineRule="auto"/>
        <w:jc w:val="both"/>
        <w:rPr>
          <w:rFonts w:ascii="Arial" w:hAnsi="Arial" w:cs="Arial"/>
          <w:sz w:val="24"/>
          <w:szCs w:val="24"/>
        </w:rPr>
      </w:pPr>
      <w:r>
        <w:rPr>
          <w:rFonts w:ascii="Arial" w:hAnsi="Arial" w:cs="Arial"/>
          <w:sz w:val="24"/>
          <w:szCs w:val="24"/>
        </w:rPr>
        <w:t>Fomentar la cooperación internacional en el contexto de la ciencia abierta con miras a reducir las brechas digitales, tecnológica y de conocimientos y como vía de adquirir infraestructuras y servicios de ciencia abierta;</w:t>
      </w:r>
    </w:p>
    <w:p w:rsidR="00CC6E90" w:rsidRDefault="00CC6E90" w:rsidP="00CC6E90">
      <w:pPr>
        <w:numPr>
          <w:ilvl w:val="0"/>
          <w:numId w:val="1"/>
        </w:numPr>
        <w:spacing w:after="0" w:line="276" w:lineRule="auto"/>
        <w:jc w:val="both"/>
        <w:rPr>
          <w:rFonts w:ascii="Arial" w:hAnsi="Arial" w:cs="Arial"/>
          <w:sz w:val="24"/>
          <w:szCs w:val="24"/>
        </w:rPr>
      </w:pPr>
      <w:r>
        <w:rPr>
          <w:rFonts w:ascii="Arial" w:hAnsi="Arial" w:cs="Arial"/>
          <w:sz w:val="24"/>
          <w:szCs w:val="24"/>
        </w:rPr>
        <w:t>Generar actividades de preparación, formación, educación, alfabetización digital y desarrollo de capacidades para la ciencia abierta de los recursos humanos con los que cuentan los CES;</w:t>
      </w:r>
    </w:p>
    <w:p w:rsidR="00CC6E90" w:rsidRDefault="00CC6E90" w:rsidP="00CC6E90">
      <w:pPr>
        <w:numPr>
          <w:ilvl w:val="0"/>
          <w:numId w:val="1"/>
        </w:numPr>
        <w:spacing w:after="0" w:line="276" w:lineRule="auto"/>
        <w:jc w:val="both"/>
        <w:rPr>
          <w:rFonts w:ascii="Arial" w:hAnsi="Arial" w:cs="Arial"/>
          <w:sz w:val="24"/>
          <w:szCs w:val="24"/>
        </w:rPr>
      </w:pPr>
      <w:r>
        <w:rPr>
          <w:rFonts w:ascii="Arial" w:hAnsi="Arial" w:cs="Arial"/>
          <w:sz w:val="24"/>
          <w:szCs w:val="24"/>
        </w:rPr>
        <w:t>Continuar creando la cultura de la ciencia abierta y promover enfoques innovadores de esta en las diferentes etapas del proceso científico;</w:t>
      </w:r>
    </w:p>
    <w:p w:rsidR="00CC6E90" w:rsidRDefault="00CC6E90" w:rsidP="00CC6E90">
      <w:pPr>
        <w:numPr>
          <w:ilvl w:val="0"/>
          <w:numId w:val="1"/>
        </w:numPr>
        <w:spacing w:after="0" w:line="240" w:lineRule="auto"/>
        <w:jc w:val="both"/>
        <w:rPr>
          <w:rFonts w:ascii="Arial" w:hAnsi="Arial" w:cs="Arial"/>
          <w:sz w:val="24"/>
          <w:szCs w:val="24"/>
        </w:rPr>
      </w:pPr>
      <w:r>
        <w:rPr>
          <w:rFonts w:ascii="Arial" w:hAnsi="Arial" w:cs="Arial"/>
          <w:sz w:val="24"/>
          <w:szCs w:val="24"/>
        </w:rPr>
        <w:t xml:space="preserve">Insertar indicadores en la actualización de </w:t>
      </w:r>
      <w:proofErr w:type="gramStart"/>
      <w:r>
        <w:rPr>
          <w:rFonts w:ascii="Arial" w:hAnsi="Arial" w:cs="Arial"/>
          <w:sz w:val="24"/>
          <w:szCs w:val="24"/>
        </w:rPr>
        <w:t>la  planeación</w:t>
      </w:r>
      <w:proofErr w:type="gramEnd"/>
      <w:r>
        <w:rPr>
          <w:rFonts w:ascii="Arial" w:hAnsi="Arial" w:cs="Arial"/>
          <w:sz w:val="24"/>
          <w:szCs w:val="24"/>
        </w:rPr>
        <w:t xml:space="preserve"> estratégica del 2022- 2026 y por ende en los sistemas de evaluación de las áreas y profesorales aspectos relacionados con la ECA.</w:t>
      </w:r>
    </w:p>
    <w:p w:rsidR="00CC6E90" w:rsidRDefault="00CC6E90" w:rsidP="00CC6E90">
      <w:pPr>
        <w:spacing w:after="0" w:line="240" w:lineRule="auto"/>
        <w:jc w:val="both"/>
        <w:rPr>
          <w:rFonts w:ascii="Arial" w:hAnsi="Arial" w:cs="Arial"/>
          <w:sz w:val="24"/>
          <w:szCs w:val="24"/>
        </w:rPr>
      </w:pPr>
    </w:p>
    <w:p w:rsidR="00CC6E90" w:rsidRDefault="00CC6E90" w:rsidP="00CC6E90">
      <w:pPr>
        <w:spacing w:after="0" w:line="240" w:lineRule="auto"/>
        <w:jc w:val="both"/>
        <w:rPr>
          <w:rFonts w:ascii="Arial" w:hAnsi="Arial" w:cs="Arial"/>
          <w:b/>
          <w:sz w:val="24"/>
          <w:szCs w:val="24"/>
        </w:rPr>
      </w:pPr>
      <w:r>
        <w:rPr>
          <w:rFonts w:ascii="Arial" w:hAnsi="Arial" w:cs="Arial"/>
          <w:b/>
          <w:sz w:val="24"/>
          <w:szCs w:val="24"/>
        </w:rPr>
        <w:t>Principios teóricos en los que se sustenta la RECOMENDACIÓN</w:t>
      </w:r>
    </w:p>
    <w:p w:rsidR="00CC6E90" w:rsidRDefault="00CC6E90" w:rsidP="00CC6E90">
      <w:pPr>
        <w:spacing w:after="0" w:line="240" w:lineRule="auto"/>
        <w:jc w:val="both"/>
      </w:pPr>
      <w:r>
        <w:rPr>
          <w:rFonts w:ascii="Arial" w:hAnsi="Arial" w:cs="Arial"/>
          <w:sz w:val="24"/>
          <w:szCs w:val="24"/>
        </w:rPr>
        <w:t>La Ciencia Abierta es un movimiento que fomenta las investigaciones científicas, metodologías y datos obtenidos a partir de que ellas puedan ser distribuidas, reutilizadas y accesibles por todos los niveles de la sociedad de forma gratuita y libre</w:t>
      </w:r>
      <w:r>
        <w:rPr>
          <w:rFonts w:ascii="Arial" w:hAnsi="Arial" w:cs="Arial"/>
          <w:sz w:val="24"/>
          <w:szCs w:val="24"/>
          <w:vertAlign w:val="superscript"/>
        </w:rPr>
        <w:footnoteReference w:id="1"/>
      </w:r>
      <w:r>
        <w:rPr>
          <w:rFonts w:ascii="Arial" w:hAnsi="Arial" w:cs="Arial"/>
          <w:sz w:val="24"/>
          <w:szCs w:val="24"/>
        </w:rPr>
        <w:t xml:space="preserve">. Son varias las diferentes posturas que conceptualizan el fenómeno. </w:t>
      </w:r>
    </w:p>
    <w:p w:rsidR="00CC6E90" w:rsidRDefault="00CC6E90" w:rsidP="00CC6E90">
      <w:pPr>
        <w:spacing w:after="0" w:line="240" w:lineRule="auto"/>
        <w:jc w:val="both"/>
      </w:pPr>
      <w:proofErr w:type="spellStart"/>
      <w:r>
        <w:rPr>
          <w:rFonts w:ascii="Arial" w:hAnsi="Arial" w:cs="Arial"/>
          <w:sz w:val="24"/>
          <w:szCs w:val="24"/>
        </w:rPr>
        <w:t>Pontika</w:t>
      </w:r>
      <w:proofErr w:type="spellEnd"/>
      <w:r>
        <w:rPr>
          <w:rFonts w:ascii="Arial" w:hAnsi="Arial" w:cs="Arial"/>
          <w:sz w:val="24"/>
          <w:szCs w:val="24"/>
        </w:rPr>
        <w:t xml:space="preserve"> et al. establece que hay varias definiciones de "apertura" con respecto a varios aspectos de la ciencia; el proyecto Open </w:t>
      </w:r>
      <w:proofErr w:type="spellStart"/>
      <w:r>
        <w:rPr>
          <w:rFonts w:ascii="Arial" w:hAnsi="Arial" w:cs="Arial"/>
          <w:sz w:val="24"/>
          <w:szCs w:val="24"/>
        </w:rPr>
        <w:t>Definition</w:t>
      </w:r>
      <w:proofErr w:type="spellEnd"/>
      <w:r>
        <w:rPr>
          <w:rFonts w:ascii="Arial" w:hAnsi="Arial" w:cs="Arial"/>
          <w:sz w:val="24"/>
          <w:szCs w:val="24"/>
        </w:rPr>
        <w:t xml:space="preserve"> la define así: "Los datos y el contenido abiertos pueden ser utilizados, modificados y compartidos libremente por cualquier persona para cualquier propósito". El Acceso Abierto abarca una variedad de prácticas, que generalmente incluyen áreas como acceso abierto a publicaciones, datos abiertos </w:t>
      </w:r>
      <w:r>
        <w:rPr>
          <w:rFonts w:ascii="Arial" w:hAnsi="Arial" w:cs="Arial"/>
          <w:sz w:val="24"/>
          <w:szCs w:val="24"/>
        </w:rPr>
        <w:lastRenderedPageBreak/>
        <w:t xml:space="preserve">de investigación, software / herramientas de código abierto, flujos de trabajo abiertos, ciencia ciudadana, recursos educativos abiertos y métodos alternativos para la evaluación de la investigación, incluida la revisión por pares abierta. </w:t>
      </w:r>
      <w:r>
        <w:rPr>
          <w:rFonts w:ascii="Arial" w:hAnsi="Arial" w:cs="Arial"/>
          <w:sz w:val="24"/>
          <w:szCs w:val="24"/>
          <w:vertAlign w:val="superscript"/>
        </w:rPr>
        <w:footnoteReference w:id="2"/>
      </w:r>
      <w:r>
        <w:rPr>
          <w:rFonts w:ascii="Arial" w:hAnsi="Arial" w:cs="Arial"/>
          <w:sz w:val="24"/>
          <w:szCs w:val="24"/>
        </w:rPr>
        <w:t xml:space="preserve"> Por tanto, el cambio no está en lo que se hace, sino en cómo se hace.</w:t>
      </w:r>
    </w:p>
    <w:p w:rsidR="00CC6E90" w:rsidRDefault="00CC6E90" w:rsidP="00CC6E90">
      <w:pPr>
        <w:spacing w:after="0" w:line="240" w:lineRule="auto"/>
        <w:jc w:val="both"/>
        <w:rPr>
          <w:rFonts w:ascii="Arial" w:hAnsi="Arial" w:cs="Arial"/>
          <w:sz w:val="24"/>
          <w:szCs w:val="24"/>
        </w:rPr>
      </w:pPr>
    </w:p>
    <w:p w:rsidR="00CC6E90" w:rsidRDefault="00CC6E90" w:rsidP="00CC6E90">
      <w:pPr>
        <w:spacing w:after="0" w:line="240" w:lineRule="auto"/>
        <w:jc w:val="both"/>
      </w:pPr>
      <w:r>
        <w:rPr>
          <w:rFonts w:ascii="Arial" w:hAnsi="Arial" w:cs="Arial"/>
          <w:sz w:val="24"/>
          <w:szCs w:val="24"/>
        </w:rPr>
        <w:t xml:space="preserve">Por su parte, </w:t>
      </w:r>
      <w:proofErr w:type="spellStart"/>
      <w:r>
        <w:rPr>
          <w:rFonts w:ascii="Arial" w:hAnsi="Arial" w:cs="Arial"/>
          <w:sz w:val="24"/>
          <w:szCs w:val="24"/>
        </w:rPr>
        <w:t>Masuzzo</w:t>
      </w:r>
      <w:proofErr w:type="spellEnd"/>
      <w:r>
        <w:rPr>
          <w:rFonts w:ascii="Arial" w:hAnsi="Arial" w:cs="Arial"/>
          <w:sz w:val="24"/>
          <w:szCs w:val="24"/>
        </w:rPr>
        <w:t xml:space="preserve"> y Martens</w:t>
      </w:r>
      <w:r>
        <w:rPr>
          <w:rFonts w:ascii="Arial" w:hAnsi="Arial" w:cs="Arial"/>
          <w:sz w:val="24"/>
          <w:szCs w:val="24"/>
          <w:vertAlign w:val="superscript"/>
        </w:rPr>
        <w:footnoteReference w:id="3"/>
      </w:r>
      <w:r>
        <w:rPr>
          <w:rFonts w:ascii="Arial" w:hAnsi="Arial" w:cs="Arial"/>
          <w:sz w:val="24"/>
          <w:szCs w:val="24"/>
        </w:rPr>
        <w:t>, utilizan la metáfora de los pilares o columnas que sustentan la CA que, en su opinión, serían cuatro:</w:t>
      </w:r>
    </w:p>
    <w:p w:rsidR="00CC6E90" w:rsidRDefault="00CC6E90" w:rsidP="00CC6E90">
      <w:pPr>
        <w:numPr>
          <w:ilvl w:val="0"/>
          <w:numId w:val="2"/>
        </w:numPr>
        <w:spacing w:after="0" w:line="240" w:lineRule="auto"/>
        <w:jc w:val="both"/>
        <w:rPr>
          <w:rFonts w:ascii="Arial" w:hAnsi="Arial" w:cs="Arial"/>
          <w:sz w:val="24"/>
          <w:szCs w:val="24"/>
        </w:rPr>
      </w:pPr>
      <w:r>
        <w:rPr>
          <w:rFonts w:ascii="Arial" w:hAnsi="Arial" w:cs="Arial"/>
          <w:sz w:val="24"/>
          <w:szCs w:val="24"/>
        </w:rPr>
        <w:t>acceso abierto</w:t>
      </w:r>
    </w:p>
    <w:p w:rsidR="00CC6E90" w:rsidRDefault="00CC6E90" w:rsidP="00CC6E90">
      <w:pPr>
        <w:numPr>
          <w:ilvl w:val="0"/>
          <w:numId w:val="2"/>
        </w:numPr>
        <w:spacing w:after="0" w:line="240" w:lineRule="auto"/>
        <w:jc w:val="both"/>
        <w:rPr>
          <w:rFonts w:ascii="Arial" w:hAnsi="Arial" w:cs="Arial"/>
          <w:sz w:val="24"/>
          <w:szCs w:val="24"/>
        </w:rPr>
      </w:pPr>
      <w:r>
        <w:rPr>
          <w:rFonts w:ascii="Arial" w:hAnsi="Arial" w:cs="Arial"/>
          <w:sz w:val="24"/>
          <w:szCs w:val="24"/>
        </w:rPr>
        <w:t>datos abiertos</w:t>
      </w:r>
    </w:p>
    <w:p w:rsidR="00CC6E90" w:rsidRDefault="00CC6E90" w:rsidP="00CC6E90">
      <w:pPr>
        <w:numPr>
          <w:ilvl w:val="0"/>
          <w:numId w:val="2"/>
        </w:numPr>
        <w:spacing w:after="0" w:line="240" w:lineRule="auto"/>
        <w:jc w:val="both"/>
        <w:rPr>
          <w:rFonts w:ascii="Arial" w:hAnsi="Arial" w:cs="Arial"/>
          <w:sz w:val="24"/>
          <w:szCs w:val="24"/>
        </w:rPr>
      </w:pPr>
      <w:r>
        <w:rPr>
          <w:rFonts w:ascii="Arial" w:hAnsi="Arial" w:cs="Arial"/>
          <w:sz w:val="24"/>
          <w:szCs w:val="24"/>
        </w:rPr>
        <w:t>código abierto</w:t>
      </w:r>
    </w:p>
    <w:p w:rsidR="00CC6E90" w:rsidRDefault="00CC6E90" w:rsidP="00CC6E90">
      <w:pPr>
        <w:numPr>
          <w:ilvl w:val="0"/>
          <w:numId w:val="2"/>
        </w:numPr>
        <w:spacing w:after="0" w:line="240" w:lineRule="auto"/>
        <w:jc w:val="both"/>
        <w:rPr>
          <w:rFonts w:ascii="Arial" w:hAnsi="Arial" w:cs="Arial"/>
          <w:sz w:val="24"/>
          <w:szCs w:val="24"/>
        </w:rPr>
      </w:pPr>
      <w:r>
        <w:rPr>
          <w:rFonts w:ascii="Arial" w:hAnsi="Arial" w:cs="Arial"/>
          <w:sz w:val="24"/>
          <w:szCs w:val="24"/>
        </w:rPr>
        <w:t>revisión abierta</w:t>
      </w:r>
    </w:p>
    <w:p w:rsidR="00CC6E90" w:rsidRDefault="00CC6E90" w:rsidP="00CC6E90">
      <w:pPr>
        <w:tabs>
          <w:tab w:val="left" w:pos="3592"/>
        </w:tabs>
        <w:spacing w:after="0" w:line="240" w:lineRule="auto"/>
        <w:jc w:val="both"/>
        <w:rPr>
          <w:rFonts w:ascii="Arial" w:hAnsi="Arial" w:cs="Arial"/>
          <w:sz w:val="24"/>
          <w:szCs w:val="24"/>
        </w:rPr>
      </w:pPr>
      <w:r>
        <w:rPr>
          <w:rFonts w:ascii="Arial" w:hAnsi="Arial" w:cs="Arial"/>
          <w:sz w:val="24"/>
          <w:szCs w:val="24"/>
        </w:rPr>
        <w:tab/>
      </w:r>
    </w:p>
    <w:p w:rsidR="00CC6E90" w:rsidRDefault="00CC6E90" w:rsidP="00CC6E90">
      <w:pPr>
        <w:tabs>
          <w:tab w:val="left" w:pos="3592"/>
        </w:tabs>
        <w:spacing w:after="0" w:line="240" w:lineRule="auto"/>
        <w:jc w:val="both"/>
        <w:rPr>
          <w:rFonts w:ascii="Arial" w:hAnsi="Arial" w:cs="Arial"/>
          <w:sz w:val="24"/>
          <w:szCs w:val="24"/>
        </w:rPr>
      </w:pPr>
      <w:r>
        <w:rPr>
          <w:rFonts w:ascii="Arial" w:hAnsi="Arial" w:cs="Arial"/>
          <w:sz w:val="24"/>
          <w:szCs w:val="24"/>
        </w:rPr>
        <w:t>Un resumen de las visiones de diferentes autores se muestra en la figura 1</w:t>
      </w:r>
    </w:p>
    <w:p w:rsidR="00CC6E90" w:rsidRDefault="00CC6E90" w:rsidP="00CC6E90">
      <w:pPr>
        <w:spacing w:after="0"/>
        <w:jc w:val="both"/>
      </w:pPr>
      <w:r>
        <w:rPr>
          <w:rFonts w:ascii="Arial" w:hAnsi="Arial" w:cs="Arial"/>
          <w:noProof/>
          <w:sz w:val="24"/>
          <w:szCs w:val="24"/>
          <w:lang w:val="es-ES" w:eastAsia="es-ES"/>
        </w:rPr>
        <w:drawing>
          <wp:inline distT="0" distB="0" distL="0" distR="0" wp14:anchorId="3D1815B6" wp14:editId="6005BBDC">
            <wp:extent cx="5405439" cy="2983467"/>
            <wp:effectExtent l="0" t="0" r="4761" b="7383"/>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05439" cy="2983467"/>
                    </a:xfrm>
                    <a:prstGeom prst="rect">
                      <a:avLst/>
                    </a:prstGeom>
                    <a:noFill/>
                    <a:ln>
                      <a:noFill/>
                      <a:prstDash/>
                    </a:ln>
                  </pic:spPr>
                </pic:pic>
              </a:graphicData>
            </a:graphic>
          </wp:inline>
        </w:drawing>
      </w:r>
    </w:p>
    <w:p w:rsidR="00CC6E90" w:rsidRDefault="00CC6E90" w:rsidP="00CC6E90">
      <w:pPr>
        <w:spacing w:after="0"/>
        <w:jc w:val="right"/>
      </w:pPr>
      <w:r>
        <w:rPr>
          <w:rFonts w:ascii="Arial" w:hAnsi="Arial" w:cs="Arial"/>
          <w:b/>
        </w:rPr>
        <w:t xml:space="preserve">Fig.1 Esquema de los componentes de la Ciencia Abierta según revisión de fuentes </w:t>
      </w:r>
      <w:r>
        <w:rPr>
          <w:rFonts w:ascii="Arial" w:hAnsi="Arial" w:cs="Arial"/>
          <w:b/>
          <w:vertAlign w:val="superscript"/>
        </w:rPr>
        <w:footnoteReference w:id="4"/>
      </w:r>
    </w:p>
    <w:p w:rsidR="00CC6E90" w:rsidRDefault="00CC6E90" w:rsidP="00CC6E90">
      <w:pPr>
        <w:spacing w:after="0"/>
        <w:jc w:val="both"/>
        <w:rPr>
          <w:rFonts w:ascii="Arial" w:hAnsi="Arial" w:cs="Arial"/>
          <w:sz w:val="24"/>
          <w:szCs w:val="24"/>
        </w:rPr>
      </w:pPr>
    </w:p>
    <w:p w:rsidR="00CC6E90" w:rsidRDefault="00CC6E90" w:rsidP="00CC6E90">
      <w:pPr>
        <w:spacing w:after="0"/>
        <w:jc w:val="both"/>
      </w:pPr>
      <w:r>
        <w:rPr>
          <w:rFonts w:ascii="Arial" w:hAnsi="Arial" w:cs="Arial"/>
          <w:sz w:val="24"/>
          <w:szCs w:val="24"/>
        </w:rPr>
        <w:t xml:space="preserve">Los elementos siempre presentes en todas las representaciones son </w:t>
      </w:r>
      <w:r>
        <w:rPr>
          <w:rFonts w:ascii="Arial" w:hAnsi="Arial" w:cs="Arial"/>
          <w:b/>
          <w:i/>
          <w:sz w:val="24"/>
          <w:szCs w:val="24"/>
        </w:rPr>
        <w:t xml:space="preserve">el acceso abierto, los datos abiertos, el open peer </w:t>
      </w:r>
      <w:proofErr w:type="spellStart"/>
      <w:r>
        <w:rPr>
          <w:rFonts w:ascii="Arial" w:hAnsi="Arial" w:cs="Arial"/>
          <w:b/>
          <w:i/>
          <w:sz w:val="24"/>
          <w:szCs w:val="24"/>
        </w:rPr>
        <w:t>review</w:t>
      </w:r>
      <w:proofErr w:type="spellEnd"/>
      <w:r>
        <w:rPr>
          <w:rFonts w:ascii="Arial" w:hAnsi="Arial" w:cs="Arial"/>
          <w:b/>
          <w:i/>
          <w:sz w:val="24"/>
          <w:szCs w:val="24"/>
        </w:rPr>
        <w:t xml:space="preserve"> y el software libre</w:t>
      </w:r>
      <w:r>
        <w:rPr>
          <w:rFonts w:ascii="Arial" w:hAnsi="Arial" w:cs="Arial"/>
          <w:sz w:val="24"/>
          <w:szCs w:val="24"/>
        </w:rPr>
        <w:t xml:space="preserve">. En un segundo bloque </w:t>
      </w:r>
      <w:r>
        <w:rPr>
          <w:rFonts w:ascii="Arial" w:hAnsi="Arial" w:cs="Arial"/>
          <w:sz w:val="24"/>
          <w:szCs w:val="24"/>
        </w:rPr>
        <w:lastRenderedPageBreak/>
        <w:t xml:space="preserve">también aparecen (aunque sin tanta unanimidad) los </w:t>
      </w:r>
      <w:r>
        <w:rPr>
          <w:rFonts w:ascii="Arial" w:hAnsi="Arial" w:cs="Arial"/>
          <w:i/>
          <w:sz w:val="24"/>
          <w:szCs w:val="24"/>
        </w:rPr>
        <w:t>recursos educativos abiertos</w:t>
      </w:r>
      <w:r>
        <w:rPr>
          <w:rFonts w:ascii="Arial" w:hAnsi="Arial" w:cs="Arial"/>
          <w:sz w:val="24"/>
          <w:szCs w:val="24"/>
        </w:rPr>
        <w:t xml:space="preserve">, la </w:t>
      </w:r>
      <w:r>
        <w:rPr>
          <w:rFonts w:ascii="Arial" w:hAnsi="Arial" w:cs="Arial"/>
          <w:i/>
          <w:sz w:val="24"/>
          <w:szCs w:val="24"/>
        </w:rPr>
        <w:t xml:space="preserve">ciencia ciudadana </w:t>
      </w:r>
      <w:r>
        <w:rPr>
          <w:rFonts w:ascii="Arial" w:hAnsi="Arial" w:cs="Arial"/>
          <w:sz w:val="24"/>
          <w:szCs w:val="24"/>
        </w:rPr>
        <w:t>y los open notebooks.</w:t>
      </w:r>
      <w:r>
        <w:rPr>
          <w:rFonts w:ascii="Arial" w:hAnsi="Arial" w:cs="Arial"/>
          <w:sz w:val="24"/>
          <w:szCs w:val="24"/>
          <w:vertAlign w:val="superscript"/>
        </w:rPr>
        <w:footnoteReference w:id="5"/>
      </w:r>
    </w:p>
    <w:p w:rsidR="00CC6E90" w:rsidRDefault="00CC6E90" w:rsidP="00CC6E90">
      <w:pPr>
        <w:spacing w:after="0"/>
        <w:jc w:val="both"/>
      </w:pPr>
      <w:r>
        <w:rPr>
          <w:rFonts w:ascii="Arial" w:hAnsi="Arial" w:cs="Arial"/>
          <w:b/>
          <w:sz w:val="24"/>
          <w:szCs w:val="24"/>
        </w:rPr>
        <w:t>DESARROLLO</w:t>
      </w:r>
    </w:p>
    <w:p w:rsidR="00CC6E90" w:rsidRDefault="00CC6E90" w:rsidP="00CC6E90">
      <w:pPr>
        <w:spacing w:after="0" w:line="240" w:lineRule="auto"/>
        <w:jc w:val="both"/>
        <w:rPr>
          <w:rFonts w:ascii="Arial" w:hAnsi="Arial" w:cs="Arial"/>
          <w:b/>
          <w:sz w:val="24"/>
          <w:szCs w:val="24"/>
        </w:rPr>
      </w:pPr>
    </w:p>
    <w:p w:rsidR="00CC6E90" w:rsidRDefault="00CC6E90" w:rsidP="00CC6E90">
      <w:pPr>
        <w:spacing w:after="0" w:line="240" w:lineRule="auto"/>
        <w:jc w:val="both"/>
      </w:pPr>
      <w:r>
        <w:rPr>
          <w:rFonts w:ascii="Arial" w:hAnsi="Arial" w:cs="Arial"/>
          <w:b/>
          <w:sz w:val="24"/>
          <w:szCs w:val="24"/>
        </w:rPr>
        <w:t>En el orden Metodológico - Legal</w:t>
      </w:r>
      <w:r>
        <w:rPr>
          <w:rFonts w:ascii="Arial" w:hAnsi="Arial" w:cs="Arial"/>
          <w:sz w:val="24"/>
          <w:szCs w:val="24"/>
        </w:rPr>
        <w:t>, recomendamos:</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Establecer por cada CES una política institucional de acceso abierto a la producción científica y académica.</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Crear entornos normativos, estrategias y políticas, en el plano institucional y nacional, que propicien prácticas eficientes de REA.</w:t>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t>Diseñar políticas de gestión de datos de investigación, con el adecuado respaldo jurídico en las universidades del MES.</w:t>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t>Contar en cada universidad con un plan de gestión de datos de investigación donde se especifiquen aspectos como: la descripción, la documentación, el almacenamiento, la seguridad, la preservación en el tiempo de los datos. Así mismo, qué datos se compartirán para su reutilización, las implicaciones éticas y legales del uso de los datos, las responsabilidades en las universidades del proceso de GDI.</w:t>
      </w:r>
    </w:p>
    <w:p w:rsidR="00CC6E90" w:rsidRDefault="00CC6E90" w:rsidP="00CC6E90">
      <w:pPr>
        <w:numPr>
          <w:ilvl w:val="0"/>
          <w:numId w:val="3"/>
        </w:numPr>
        <w:spacing w:after="0" w:line="276" w:lineRule="auto"/>
        <w:jc w:val="both"/>
      </w:pPr>
      <w:r>
        <w:rPr>
          <w:rFonts w:ascii="Arial" w:hAnsi="Arial" w:cs="Arial"/>
          <w:sz w:val="24"/>
          <w:szCs w:val="24"/>
        </w:rPr>
        <w:t>Incluir en las políticas editoriales de las revistas los aspectos relativos a la revisión abierta por pares, donde se incluyen formularios de conformidad para los autores en función de la ciencia abierta</w:t>
      </w:r>
      <w:r>
        <w:rPr>
          <w:rFonts w:ascii="Arial" w:hAnsi="Arial" w:cs="Arial"/>
          <w:sz w:val="24"/>
          <w:szCs w:val="24"/>
          <w:vertAlign w:val="superscript"/>
        </w:rPr>
        <w:footnoteReference w:id="6"/>
      </w:r>
      <w:r>
        <w:rPr>
          <w:rFonts w:ascii="Arial" w:hAnsi="Arial" w:cs="Arial"/>
          <w:sz w:val="24"/>
          <w:szCs w:val="24"/>
        </w:rPr>
        <w:t xml:space="preserve">. </w:t>
      </w:r>
    </w:p>
    <w:p w:rsidR="00CC6E90" w:rsidRDefault="00CC6E90" w:rsidP="00CC6E90">
      <w:pPr>
        <w:numPr>
          <w:ilvl w:val="0"/>
          <w:numId w:val="3"/>
        </w:numPr>
        <w:spacing w:after="0" w:line="276" w:lineRule="auto"/>
        <w:jc w:val="both"/>
      </w:pPr>
      <w:r>
        <w:rPr>
          <w:rFonts w:ascii="Arial" w:hAnsi="Arial" w:cs="Arial"/>
          <w:sz w:val="24"/>
          <w:szCs w:val="24"/>
        </w:rPr>
        <w:t>Explicitar que las revistas se acogen a los principios FAST</w:t>
      </w:r>
      <w:r>
        <w:rPr>
          <w:rFonts w:ascii="Arial" w:hAnsi="Arial" w:cs="Arial"/>
          <w:sz w:val="24"/>
          <w:szCs w:val="24"/>
          <w:vertAlign w:val="superscript"/>
        </w:rPr>
        <w:footnoteReference w:id="7"/>
      </w:r>
      <w:r>
        <w:rPr>
          <w:rFonts w:ascii="Arial" w:hAnsi="Arial" w:cs="Arial"/>
          <w:sz w:val="24"/>
          <w:szCs w:val="24"/>
        </w:rPr>
        <w:t xml:space="preserve"> como cultura para los </w:t>
      </w:r>
      <w:proofErr w:type="spellStart"/>
      <w:r>
        <w:rPr>
          <w:rFonts w:ascii="Arial" w:hAnsi="Arial" w:cs="Arial"/>
          <w:sz w:val="24"/>
          <w:szCs w:val="24"/>
        </w:rPr>
        <w:t>preprints</w:t>
      </w:r>
      <w:proofErr w:type="spellEnd"/>
      <w:r>
        <w:rPr>
          <w:rFonts w:ascii="Arial" w:hAnsi="Arial" w:cs="Arial"/>
          <w:sz w:val="24"/>
          <w:szCs w:val="24"/>
        </w:rPr>
        <w:t>.</w:t>
      </w:r>
    </w:p>
    <w:p w:rsidR="00CC6E90" w:rsidRDefault="00CC6E90" w:rsidP="00CC6E90">
      <w:pPr>
        <w:numPr>
          <w:ilvl w:val="0"/>
          <w:numId w:val="3"/>
        </w:numPr>
        <w:spacing w:after="0" w:line="276" w:lineRule="auto"/>
        <w:jc w:val="both"/>
      </w:pPr>
      <w:r>
        <w:rPr>
          <w:rFonts w:ascii="Arial" w:hAnsi="Arial" w:cs="Arial"/>
          <w:sz w:val="24"/>
          <w:szCs w:val="24"/>
        </w:rPr>
        <w:t xml:space="preserve">Generar políticas, procedimientos </w:t>
      </w:r>
      <w:r>
        <w:rPr>
          <w:rFonts w:ascii="Arial" w:hAnsi="Arial" w:cs="Arial"/>
          <w:sz w:val="24"/>
          <w:szCs w:val="24"/>
          <w:vertAlign w:val="superscript"/>
        </w:rPr>
        <w:footnoteReference w:id="8"/>
      </w:r>
      <w:r>
        <w:rPr>
          <w:rFonts w:ascii="Arial" w:hAnsi="Arial" w:cs="Arial"/>
          <w:sz w:val="24"/>
          <w:szCs w:val="24"/>
        </w:rPr>
        <w:t xml:space="preserve"> y documentos legales</w:t>
      </w:r>
      <w:r>
        <w:rPr>
          <w:rFonts w:ascii="Arial" w:hAnsi="Arial" w:cs="Arial"/>
          <w:sz w:val="24"/>
          <w:szCs w:val="24"/>
          <w:vertAlign w:val="superscript"/>
        </w:rPr>
        <w:footnoteReference w:id="9"/>
      </w:r>
      <w:r>
        <w:rPr>
          <w:rFonts w:ascii="Arial" w:hAnsi="Arial" w:cs="Arial"/>
          <w:sz w:val="24"/>
          <w:szCs w:val="24"/>
        </w:rPr>
        <w:t xml:space="preserve"> para garantizar el proceso de ciencia ciudadana.</w:t>
      </w:r>
    </w:p>
    <w:p w:rsidR="00CC6E90" w:rsidRDefault="00CC6E90" w:rsidP="00CC6E90">
      <w:pPr>
        <w:spacing w:after="0"/>
        <w:jc w:val="both"/>
        <w:rPr>
          <w:rFonts w:ascii="Arial" w:hAnsi="Arial" w:cs="Arial"/>
          <w:b/>
          <w:sz w:val="24"/>
          <w:szCs w:val="24"/>
        </w:rPr>
      </w:pPr>
    </w:p>
    <w:p w:rsidR="00CC6E90" w:rsidRDefault="00CC6E90" w:rsidP="00CC6E90">
      <w:pPr>
        <w:spacing w:after="0" w:line="240" w:lineRule="auto"/>
        <w:jc w:val="both"/>
        <w:rPr>
          <w:rFonts w:ascii="Arial" w:hAnsi="Arial" w:cs="Arial"/>
          <w:b/>
          <w:sz w:val="24"/>
          <w:szCs w:val="24"/>
        </w:rPr>
      </w:pPr>
      <w:r>
        <w:rPr>
          <w:rFonts w:ascii="Arial" w:hAnsi="Arial" w:cs="Arial"/>
          <w:b/>
          <w:sz w:val="24"/>
          <w:szCs w:val="24"/>
        </w:rPr>
        <w:t>En el orden investigativo y de colaboración</w:t>
      </w:r>
    </w:p>
    <w:p w:rsidR="00CC6E90" w:rsidRDefault="00CC6E90" w:rsidP="00CC6E90">
      <w:pPr>
        <w:numPr>
          <w:ilvl w:val="0"/>
          <w:numId w:val="3"/>
        </w:num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Contar con proyectos internacionales para </w:t>
      </w:r>
      <w:proofErr w:type="gramStart"/>
      <w:r>
        <w:rPr>
          <w:rFonts w:ascii="Arial" w:hAnsi="Arial" w:cs="Arial"/>
          <w:sz w:val="24"/>
          <w:szCs w:val="24"/>
          <w:shd w:val="clear" w:color="auto" w:fill="FFFFFF"/>
        </w:rPr>
        <w:t>desarrollar  infraestructura</w:t>
      </w:r>
      <w:proofErr w:type="gramEnd"/>
      <w:r>
        <w:rPr>
          <w:rFonts w:ascii="Arial" w:hAnsi="Arial" w:cs="Arial"/>
          <w:sz w:val="24"/>
          <w:szCs w:val="24"/>
          <w:shd w:val="clear" w:color="auto" w:fill="FFFFFF"/>
        </w:rPr>
        <w:t xml:space="preserve"> y servicios para la ECA. </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Alentar y apoyar la investigación en materia de REA mediante programas de investigación pertinentes sobre el desarrollo, el intercambio y la evaluación de REA, en particular sobre el apoyo de las tecnologías digitales.</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lastRenderedPageBreak/>
        <w:t>Promover y estimular la colaboración internacional entorno a proyectos y programas de REA, aprovechando los mecanismos y órganos de colaboración regionales y mundiales existentes.</w:t>
      </w:r>
    </w:p>
    <w:p w:rsidR="00CC6E90" w:rsidRDefault="00CC6E90" w:rsidP="00CC6E90">
      <w:pPr>
        <w:spacing w:after="0" w:line="240" w:lineRule="auto"/>
        <w:jc w:val="both"/>
        <w:rPr>
          <w:rFonts w:ascii="Arial" w:hAnsi="Arial" w:cs="Arial"/>
          <w:sz w:val="24"/>
          <w:szCs w:val="24"/>
        </w:rPr>
      </w:pPr>
    </w:p>
    <w:p w:rsidR="00CC6E90" w:rsidRDefault="00CC6E90" w:rsidP="00CC6E90">
      <w:pPr>
        <w:spacing w:after="0" w:line="240" w:lineRule="auto"/>
        <w:jc w:val="both"/>
        <w:rPr>
          <w:rFonts w:ascii="Arial" w:hAnsi="Arial" w:cs="Arial"/>
          <w:sz w:val="24"/>
          <w:szCs w:val="24"/>
        </w:rPr>
      </w:pPr>
    </w:p>
    <w:p w:rsidR="00CC6E90" w:rsidRDefault="00CC6E90" w:rsidP="00CC6E90">
      <w:pPr>
        <w:spacing w:after="0" w:line="240" w:lineRule="auto"/>
        <w:jc w:val="both"/>
        <w:rPr>
          <w:rFonts w:ascii="Arial" w:hAnsi="Arial" w:cs="Arial"/>
          <w:sz w:val="24"/>
          <w:szCs w:val="24"/>
        </w:rPr>
      </w:pP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 xml:space="preserve">Explorar las prácticas actuales de </w:t>
      </w:r>
      <w:proofErr w:type="gramStart"/>
      <w:r>
        <w:rPr>
          <w:rFonts w:ascii="Arial" w:hAnsi="Arial" w:cs="Arial"/>
          <w:sz w:val="24"/>
          <w:szCs w:val="24"/>
        </w:rPr>
        <w:t>gestión  de</w:t>
      </w:r>
      <w:proofErr w:type="gramEnd"/>
      <w:r>
        <w:rPr>
          <w:rFonts w:ascii="Arial" w:hAnsi="Arial" w:cs="Arial"/>
          <w:sz w:val="24"/>
          <w:szCs w:val="24"/>
        </w:rPr>
        <w:t xml:space="preserve"> datos de investigación (GDI) y sus formas de apertura y su socialización para todas las universidades del MES.</w:t>
      </w:r>
    </w:p>
    <w:p w:rsidR="00CC6E90" w:rsidRDefault="00CC6E90" w:rsidP="00CC6E90">
      <w:pPr>
        <w:numPr>
          <w:ilvl w:val="0"/>
          <w:numId w:val="3"/>
        </w:numPr>
        <w:spacing w:after="0" w:line="240" w:lineRule="auto"/>
        <w:jc w:val="both"/>
      </w:pPr>
      <w:r>
        <w:rPr>
          <w:rFonts w:ascii="Arial" w:hAnsi="Arial" w:cs="Arial"/>
          <w:sz w:val="24"/>
          <w:szCs w:val="24"/>
        </w:rPr>
        <w:t>Explorar las diferentes prácticas de revisión abiertas por pares para su adopción de manera gradual en las revistas científicas del MES</w:t>
      </w:r>
      <w:r>
        <w:rPr>
          <w:rFonts w:ascii="Arial" w:hAnsi="Arial" w:cs="Arial"/>
          <w:sz w:val="24"/>
          <w:szCs w:val="24"/>
          <w:vertAlign w:val="superscript"/>
        </w:rPr>
        <w:footnoteReference w:id="10"/>
      </w:r>
      <w:r>
        <w:rPr>
          <w:rFonts w:ascii="Arial" w:hAnsi="Arial" w:cs="Arial"/>
          <w:sz w:val="24"/>
          <w:szCs w:val="24"/>
        </w:rPr>
        <w:t>.</w:t>
      </w:r>
    </w:p>
    <w:p w:rsidR="00CC6E90" w:rsidRDefault="00CC6E90" w:rsidP="00CC6E90">
      <w:pPr>
        <w:spacing w:after="0" w:line="240" w:lineRule="auto"/>
        <w:jc w:val="both"/>
        <w:rPr>
          <w:rFonts w:ascii="Arial" w:hAnsi="Arial" w:cs="Arial"/>
          <w:b/>
          <w:sz w:val="24"/>
          <w:szCs w:val="24"/>
        </w:rPr>
      </w:pPr>
    </w:p>
    <w:p w:rsidR="00CC6E90" w:rsidRDefault="00CC6E90" w:rsidP="00CC6E90">
      <w:pPr>
        <w:spacing w:after="0" w:line="240" w:lineRule="auto"/>
        <w:jc w:val="both"/>
        <w:rPr>
          <w:rFonts w:ascii="Arial" w:hAnsi="Arial" w:cs="Arial"/>
          <w:b/>
          <w:sz w:val="24"/>
          <w:szCs w:val="24"/>
        </w:rPr>
      </w:pPr>
      <w:r>
        <w:rPr>
          <w:rFonts w:ascii="Arial" w:hAnsi="Arial" w:cs="Arial"/>
          <w:b/>
          <w:sz w:val="24"/>
          <w:szCs w:val="24"/>
        </w:rPr>
        <w:t>En el orden del desarrollo de capacidades</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Promover el uso de licencias abiertas para los materiales educativos.</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 xml:space="preserve">Fomentar el conocimiento y el uso de los </w:t>
      </w:r>
      <w:proofErr w:type="spellStart"/>
      <w:r>
        <w:rPr>
          <w:rFonts w:ascii="Arial" w:hAnsi="Arial" w:cs="Arial"/>
          <w:sz w:val="24"/>
          <w:szCs w:val="24"/>
        </w:rPr>
        <w:t>REAs</w:t>
      </w:r>
      <w:proofErr w:type="spellEnd"/>
      <w:r>
        <w:rPr>
          <w:rFonts w:ascii="Arial" w:hAnsi="Arial" w:cs="Arial"/>
          <w:sz w:val="24"/>
          <w:szCs w:val="24"/>
        </w:rPr>
        <w:t>.</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Apoyar la creación, el acceso, la reutilización, la reconversión, la adaptación y la redistribución de REA de calidad.</w:t>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t>Diseñar un sistema de trabajo periódico donde se entrenan y capacitan a los editores, autores y árbitros de todas las revistas científicas del MES sobre la revisión abierta por pares y sus diversas prácticas.</w:t>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t xml:space="preserve">Planificar talleres, seminarios y eventos relacionados con las plataformas informáticas que soportan el sistema de ciencia y educación abierta. </w:t>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t xml:space="preserve">Planificar talleres, seminarios y eventos para el fomento de la cultura sobre el acceso abierto, la gestión de datos de investigación y la ciencia ciudadana, así como la mejora de sus procesos, resultados, indicadores de seguimiento y evaluación en el ámbito de las instituciones académicas y actores de la </w:t>
      </w:r>
      <w:proofErr w:type="gramStart"/>
      <w:r>
        <w:rPr>
          <w:rFonts w:ascii="Arial" w:hAnsi="Arial" w:cs="Arial"/>
          <w:sz w:val="24"/>
          <w:szCs w:val="24"/>
        </w:rPr>
        <w:t>sociedad  que</w:t>
      </w:r>
      <w:proofErr w:type="gramEnd"/>
      <w:r>
        <w:rPr>
          <w:rFonts w:ascii="Arial" w:hAnsi="Arial" w:cs="Arial"/>
          <w:sz w:val="24"/>
          <w:szCs w:val="24"/>
        </w:rPr>
        <w:t xml:space="preserve"> la ejecutan.</w:t>
      </w:r>
    </w:p>
    <w:p w:rsidR="00CC6E90" w:rsidRDefault="00CC6E90" w:rsidP="00CC6E90">
      <w:pPr>
        <w:spacing w:after="0" w:line="240" w:lineRule="auto"/>
        <w:jc w:val="both"/>
        <w:rPr>
          <w:rFonts w:ascii="Arial" w:hAnsi="Arial" w:cs="Arial"/>
          <w:b/>
          <w:sz w:val="24"/>
          <w:szCs w:val="24"/>
        </w:rPr>
      </w:pPr>
    </w:p>
    <w:p w:rsidR="00CC6E90" w:rsidRDefault="00CC6E90" w:rsidP="00CC6E90">
      <w:pPr>
        <w:spacing w:after="0" w:line="240" w:lineRule="auto"/>
        <w:jc w:val="both"/>
        <w:rPr>
          <w:rFonts w:ascii="Arial" w:hAnsi="Arial" w:cs="Arial"/>
          <w:b/>
          <w:sz w:val="24"/>
          <w:szCs w:val="24"/>
        </w:rPr>
      </w:pPr>
      <w:r>
        <w:rPr>
          <w:rFonts w:ascii="Arial" w:hAnsi="Arial" w:cs="Arial"/>
          <w:b/>
          <w:sz w:val="24"/>
          <w:szCs w:val="24"/>
        </w:rPr>
        <w:t>En cuanto a la infraestructura y servicios</w:t>
      </w:r>
    </w:p>
    <w:p w:rsidR="00CC6E90" w:rsidRDefault="00CC6E90" w:rsidP="00CC6E90">
      <w:pPr>
        <w:numPr>
          <w:ilvl w:val="0"/>
          <w:numId w:val="3"/>
        </w:numPr>
        <w:spacing w:after="0" w:line="240" w:lineRule="auto"/>
        <w:jc w:val="both"/>
        <w:rPr>
          <w:rFonts w:ascii="Arial" w:hAnsi="Arial" w:cs="Arial"/>
          <w:sz w:val="24"/>
          <w:szCs w:val="24"/>
        </w:rPr>
      </w:pPr>
      <w:r>
        <w:rPr>
          <w:rFonts w:ascii="Arial" w:hAnsi="Arial" w:cs="Arial"/>
          <w:sz w:val="24"/>
          <w:szCs w:val="24"/>
        </w:rPr>
        <w:t xml:space="preserve">Definir, instalar y/o actualizar las plataformas informáticas (ej. </w:t>
      </w:r>
      <w:proofErr w:type="spellStart"/>
      <w:r>
        <w:rPr>
          <w:rFonts w:ascii="Arial" w:hAnsi="Arial" w:cs="Arial"/>
          <w:sz w:val="24"/>
          <w:szCs w:val="24"/>
        </w:rPr>
        <w:t>Dspace</w:t>
      </w:r>
      <w:proofErr w:type="spellEnd"/>
      <w:r>
        <w:rPr>
          <w:rFonts w:ascii="Arial" w:hAnsi="Arial" w:cs="Arial"/>
          <w:sz w:val="24"/>
          <w:szCs w:val="24"/>
        </w:rPr>
        <w:t xml:space="preserve">, Moodle, VIVO, </w:t>
      </w:r>
      <w:proofErr w:type="spellStart"/>
      <w:r>
        <w:rPr>
          <w:rFonts w:ascii="Arial" w:hAnsi="Arial" w:cs="Arial"/>
          <w:sz w:val="24"/>
          <w:szCs w:val="24"/>
        </w:rPr>
        <w:t>DspaceCRIS</w:t>
      </w:r>
      <w:proofErr w:type="spellEnd"/>
      <w:r>
        <w:rPr>
          <w:rFonts w:ascii="Arial" w:hAnsi="Arial" w:cs="Arial"/>
          <w:sz w:val="24"/>
          <w:szCs w:val="24"/>
        </w:rPr>
        <w:t xml:space="preserve">, Open </w:t>
      </w:r>
      <w:proofErr w:type="spellStart"/>
      <w:r>
        <w:rPr>
          <w:rFonts w:ascii="Arial" w:hAnsi="Arial" w:cs="Arial"/>
          <w:sz w:val="24"/>
          <w:szCs w:val="24"/>
        </w:rPr>
        <w:t>Journal</w:t>
      </w:r>
      <w:proofErr w:type="spellEnd"/>
      <w:r>
        <w:rPr>
          <w:rFonts w:ascii="Arial" w:hAnsi="Arial" w:cs="Arial"/>
          <w:sz w:val="24"/>
          <w:szCs w:val="24"/>
        </w:rPr>
        <w:t xml:space="preserve"> </w:t>
      </w:r>
      <w:proofErr w:type="spellStart"/>
      <w:r>
        <w:rPr>
          <w:rFonts w:ascii="Arial" w:hAnsi="Arial" w:cs="Arial"/>
          <w:sz w:val="24"/>
          <w:szCs w:val="24"/>
        </w:rPr>
        <w:t>System</w:t>
      </w:r>
      <w:proofErr w:type="spellEnd"/>
      <w:r>
        <w:rPr>
          <w:rFonts w:ascii="Arial" w:hAnsi="Arial" w:cs="Arial"/>
          <w:sz w:val="24"/>
          <w:szCs w:val="24"/>
        </w:rPr>
        <w:t xml:space="preserve">, Gestión de Eventos, Gestión de Datos de investigación </w:t>
      </w:r>
      <w:proofErr w:type="spellStart"/>
      <w:r>
        <w:rPr>
          <w:rFonts w:ascii="Arial" w:hAnsi="Arial" w:cs="Arial"/>
          <w:sz w:val="24"/>
          <w:szCs w:val="24"/>
        </w:rPr>
        <w:t>etc</w:t>
      </w:r>
      <w:proofErr w:type="spellEnd"/>
      <w:r>
        <w:rPr>
          <w:rFonts w:ascii="Arial" w:hAnsi="Arial" w:cs="Arial"/>
          <w:sz w:val="24"/>
          <w:szCs w:val="24"/>
        </w:rPr>
        <w:t>) de acceso abierto que cumplan con estándares internacionales basados en software libre y abierto</w:t>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t xml:space="preserve">Crear plataformas para el depósito de los REA. </w:t>
      </w:r>
    </w:p>
    <w:p w:rsidR="00CC6E90" w:rsidRDefault="00CC6E90" w:rsidP="00CC6E90">
      <w:pPr>
        <w:numPr>
          <w:ilvl w:val="0"/>
          <w:numId w:val="3"/>
        </w:numPr>
        <w:spacing w:after="0" w:line="276" w:lineRule="auto"/>
        <w:jc w:val="both"/>
      </w:pPr>
      <w:r>
        <w:rPr>
          <w:rFonts w:ascii="Arial" w:hAnsi="Arial" w:cs="Arial"/>
          <w:sz w:val="24"/>
          <w:szCs w:val="24"/>
        </w:rPr>
        <w:t>Crear repositorios para el depósito, utilización, preservación y reutilización de los datos de investigación generados en las universidades, respetando los principios FAIR</w:t>
      </w:r>
      <w:r>
        <w:rPr>
          <w:rFonts w:ascii="Arial" w:hAnsi="Arial" w:cs="Arial"/>
          <w:sz w:val="24"/>
          <w:szCs w:val="24"/>
          <w:vertAlign w:val="superscript"/>
        </w:rPr>
        <w:footnoteReference w:id="11"/>
      </w:r>
    </w:p>
    <w:p w:rsidR="00CC6E90" w:rsidRDefault="00CC6E90" w:rsidP="00CC6E90">
      <w:pPr>
        <w:numPr>
          <w:ilvl w:val="0"/>
          <w:numId w:val="3"/>
        </w:numPr>
        <w:spacing w:after="0" w:line="276" w:lineRule="auto"/>
        <w:jc w:val="both"/>
        <w:rPr>
          <w:rFonts w:ascii="Arial" w:hAnsi="Arial" w:cs="Arial"/>
          <w:sz w:val="24"/>
          <w:szCs w:val="24"/>
        </w:rPr>
      </w:pPr>
      <w:r>
        <w:rPr>
          <w:rFonts w:ascii="Arial" w:hAnsi="Arial" w:cs="Arial"/>
          <w:sz w:val="24"/>
          <w:szCs w:val="24"/>
        </w:rPr>
        <w:lastRenderedPageBreak/>
        <w:t>Desarrollar y promover estándares de interoperabilidad basados en datos enlazados que faciliten la difusión, intercambio y acceso a colecciones heterogéneas de documentos científicos y académicos en acceso abierto,</w:t>
      </w: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numPr>
          <w:ilvl w:val="0"/>
          <w:numId w:val="3"/>
        </w:numPr>
        <w:spacing w:after="0" w:line="276" w:lineRule="auto"/>
        <w:jc w:val="both"/>
      </w:pPr>
      <w:r>
        <w:rPr>
          <w:rFonts w:ascii="Arial" w:hAnsi="Arial" w:cs="Arial"/>
          <w:sz w:val="24"/>
          <w:szCs w:val="24"/>
        </w:rPr>
        <w:t xml:space="preserve">Definir los servidores de </w:t>
      </w:r>
      <w:proofErr w:type="spellStart"/>
      <w:r>
        <w:rPr>
          <w:rFonts w:ascii="Arial" w:hAnsi="Arial" w:cs="Arial"/>
          <w:sz w:val="24"/>
          <w:szCs w:val="24"/>
        </w:rPr>
        <w:t>preprints</w:t>
      </w:r>
      <w:proofErr w:type="spellEnd"/>
      <w:r>
        <w:rPr>
          <w:rFonts w:ascii="Arial" w:hAnsi="Arial" w:cs="Arial"/>
          <w:sz w:val="24"/>
          <w:szCs w:val="24"/>
        </w:rPr>
        <w:t xml:space="preserve"> disponibles y  adecuados para las revistas del MES como parte de la infraestructura necesaria para desarrollar la revisión abierta por pares</w:t>
      </w:r>
      <w:r>
        <w:rPr>
          <w:rFonts w:ascii="Arial" w:hAnsi="Arial" w:cs="Arial"/>
          <w:sz w:val="24"/>
          <w:szCs w:val="24"/>
          <w:vertAlign w:val="superscript"/>
        </w:rPr>
        <w:footnoteReference w:id="12"/>
      </w:r>
    </w:p>
    <w:p w:rsidR="00CC6E90" w:rsidRDefault="00CC6E90" w:rsidP="00CC6E90">
      <w:pPr>
        <w:numPr>
          <w:ilvl w:val="0"/>
          <w:numId w:val="3"/>
        </w:numPr>
        <w:spacing w:after="0" w:line="276" w:lineRule="auto"/>
        <w:jc w:val="both"/>
      </w:pPr>
      <w:r>
        <w:rPr>
          <w:rFonts w:ascii="Arial" w:hAnsi="Arial" w:cs="Arial"/>
          <w:sz w:val="24"/>
          <w:szCs w:val="24"/>
        </w:rPr>
        <w:t xml:space="preserve">Desarrollar estructuras en cada CES que permitan el diagnóstico, </w:t>
      </w:r>
      <w:proofErr w:type="gramStart"/>
      <w:r>
        <w:rPr>
          <w:rFonts w:ascii="Arial" w:hAnsi="Arial" w:cs="Arial"/>
          <w:sz w:val="24"/>
          <w:szCs w:val="24"/>
        </w:rPr>
        <w:t>planificación,  coordinación</w:t>
      </w:r>
      <w:proofErr w:type="gramEnd"/>
      <w:r>
        <w:rPr>
          <w:rFonts w:ascii="Arial" w:hAnsi="Arial" w:cs="Arial"/>
          <w:sz w:val="24"/>
          <w:szCs w:val="24"/>
        </w:rPr>
        <w:t>, aseguramiento, seguimiento y potenciación del proceso de ciencia ciudadana. Estas estructuras analizarán como los centros de investigación insertan entre sus objetivos y presupuestos, la inclusión de la participación ciudadana</w:t>
      </w:r>
      <w:r>
        <w:rPr>
          <w:rFonts w:ascii="Arial" w:hAnsi="Arial" w:cs="Arial"/>
          <w:sz w:val="24"/>
          <w:szCs w:val="24"/>
          <w:vertAlign w:val="superscript"/>
        </w:rPr>
        <w:footnoteReference w:id="13"/>
      </w:r>
      <w:r>
        <w:rPr>
          <w:rFonts w:ascii="Arial" w:hAnsi="Arial" w:cs="Arial"/>
          <w:sz w:val="24"/>
          <w:szCs w:val="24"/>
        </w:rPr>
        <w:t xml:space="preserve"> en la creación de conocimiento, la comunicación y el disfrute de los resultados de dicho proceso.</w:t>
      </w:r>
    </w:p>
    <w:p w:rsidR="00CC6E90" w:rsidRDefault="00CC6E90" w:rsidP="00CC6E90">
      <w:pPr>
        <w:spacing w:after="0"/>
        <w:jc w:val="both"/>
        <w:rPr>
          <w:rFonts w:ascii="Arial" w:hAnsi="Arial" w:cs="Arial"/>
          <w:sz w:val="24"/>
          <w:szCs w:val="24"/>
        </w:rPr>
      </w:pPr>
      <w:r>
        <w:rPr>
          <w:rFonts w:ascii="Arial" w:hAnsi="Arial" w:cs="Arial"/>
          <w:sz w:val="24"/>
          <w:szCs w:val="24"/>
        </w:rPr>
        <w:br/>
      </w:r>
    </w:p>
    <w:p w:rsidR="00CC6E90" w:rsidRDefault="00CC6E90" w:rsidP="00CC6E90">
      <w:pPr>
        <w:spacing w:after="0"/>
        <w:jc w:val="both"/>
        <w:rPr>
          <w:rFonts w:ascii="Arial" w:hAnsi="Arial" w:cs="Arial"/>
          <w:b/>
          <w:bCs/>
          <w:sz w:val="24"/>
          <w:szCs w:val="24"/>
        </w:rPr>
      </w:pPr>
      <w:r>
        <w:rPr>
          <w:rFonts w:ascii="Arial" w:hAnsi="Arial" w:cs="Arial"/>
          <w:b/>
          <w:bCs/>
          <w:sz w:val="24"/>
          <w:szCs w:val="24"/>
        </w:rPr>
        <w:t>CONCLUSIONES</w:t>
      </w:r>
    </w:p>
    <w:p w:rsidR="00CC6E90" w:rsidRDefault="00CC6E90" w:rsidP="00CC6E90">
      <w:pPr>
        <w:spacing w:after="0"/>
        <w:jc w:val="both"/>
        <w:rPr>
          <w:rFonts w:ascii="Arial" w:hAnsi="Arial" w:cs="Arial"/>
          <w:b/>
          <w:bCs/>
          <w:sz w:val="24"/>
          <w:szCs w:val="24"/>
        </w:rPr>
      </w:pPr>
    </w:p>
    <w:p w:rsidR="00CC6E90" w:rsidRDefault="00CC6E90" w:rsidP="00CC6E90">
      <w:pPr>
        <w:spacing w:after="0"/>
        <w:jc w:val="both"/>
      </w:pPr>
      <w:r>
        <w:rPr>
          <w:rFonts w:ascii="Arial" w:hAnsi="Arial" w:cs="Arial"/>
          <w:b/>
          <w:bCs/>
          <w:i/>
          <w:sz w:val="24"/>
          <w:szCs w:val="24"/>
        </w:rPr>
        <w:t>Reconociendo</w:t>
      </w:r>
      <w:r>
        <w:rPr>
          <w:rFonts w:ascii="Arial" w:hAnsi="Arial" w:cs="Arial"/>
          <w:sz w:val="24"/>
          <w:szCs w:val="24"/>
        </w:rPr>
        <w:t xml:space="preserve"> que la humanidad vive actualmente una época de transformación digital de la sociedad como resultado del uso extensivo e intensivo de las Tecnologías de la Información y la Comunicación (TIC).</w:t>
      </w:r>
    </w:p>
    <w:p w:rsidR="00CC6E90" w:rsidRDefault="00CC6E90" w:rsidP="00CC6E90">
      <w:pPr>
        <w:spacing w:after="0"/>
        <w:jc w:val="both"/>
      </w:pPr>
      <w:r>
        <w:rPr>
          <w:rFonts w:ascii="Arial" w:hAnsi="Arial" w:cs="Arial"/>
          <w:b/>
          <w:bCs/>
          <w:i/>
          <w:sz w:val="24"/>
          <w:szCs w:val="24"/>
        </w:rPr>
        <w:t>Reafirmando</w:t>
      </w:r>
      <w:r>
        <w:rPr>
          <w:rFonts w:ascii="Arial" w:hAnsi="Arial" w:cs="Arial"/>
          <w:sz w:val="24"/>
          <w:szCs w:val="24"/>
        </w:rPr>
        <w:t xml:space="preserve"> que la Ciencia y la Educación tienen que abrirse a todos, tomando como base la Declaración de Berlín sobre el Acceso Abierto al Conocimiento en las Ciencias y las Humanidades, donde se destacó la importancia de difundir los resultados de la investigación científica de la manera más rápida y eficiente posible y enfatizó la oportunidad y obligación de compartir los resultados de la investigación, ideas y descubrimientos libremente con la comunidad científica y el público.</w:t>
      </w:r>
    </w:p>
    <w:p w:rsidR="00CC6E90" w:rsidRDefault="00CC6E90" w:rsidP="00CC6E90">
      <w:pPr>
        <w:spacing w:after="0"/>
        <w:jc w:val="both"/>
      </w:pPr>
      <w:r>
        <w:rPr>
          <w:rFonts w:ascii="Arial" w:hAnsi="Arial" w:cs="Arial"/>
          <w:b/>
          <w:bCs/>
          <w:i/>
          <w:sz w:val="24"/>
          <w:szCs w:val="24"/>
        </w:rPr>
        <w:t>Asumiendo</w:t>
      </w:r>
      <w:r>
        <w:rPr>
          <w:rFonts w:ascii="Arial" w:hAnsi="Arial" w:cs="Arial"/>
          <w:b/>
          <w:bCs/>
          <w:sz w:val="24"/>
          <w:szCs w:val="24"/>
        </w:rPr>
        <w:t xml:space="preserve"> </w:t>
      </w:r>
      <w:r>
        <w:rPr>
          <w:rFonts w:ascii="Arial" w:hAnsi="Arial" w:cs="Arial"/>
          <w:sz w:val="24"/>
          <w:szCs w:val="24"/>
        </w:rPr>
        <w:t>el enfoque abierto en la ciencia, como uno de sus objetivos fundamentales del mejoramiento de la calidad de esta; porque es potencialmente más eficiente, porque mejora la calidad e integridad de los resultados científicos al posibilitar que su escrutinio y validación sean realizados por una más amplia comunidad; porque evita duplicación de esfuerzos cuando se trabaja en temas similares, por la reutilización de datos y flujos de trabajo; porque reduce los plazos en la transferencia de tecnologías e innovaciones; porque permite la participación ciudadana en la asimilación y creación de los resultados; porque promueve la colaboración más allá de fronteras institucionales o nacionales y estratos sociales.</w:t>
      </w:r>
    </w:p>
    <w:p w:rsidR="00CC6E90" w:rsidRDefault="00CC6E90" w:rsidP="00CC6E90">
      <w:pPr>
        <w:spacing w:after="0"/>
        <w:jc w:val="both"/>
      </w:pPr>
      <w:r>
        <w:rPr>
          <w:rFonts w:ascii="Arial" w:hAnsi="Arial" w:cs="Arial"/>
          <w:b/>
          <w:bCs/>
          <w:i/>
          <w:sz w:val="24"/>
          <w:szCs w:val="24"/>
        </w:rPr>
        <w:lastRenderedPageBreak/>
        <w:t>Reconociendo</w:t>
      </w:r>
      <w:r>
        <w:rPr>
          <w:rFonts w:ascii="Arial" w:hAnsi="Arial" w:cs="Arial"/>
          <w:i/>
          <w:sz w:val="24"/>
          <w:szCs w:val="24"/>
        </w:rPr>
        <w:t xml:space="preserve"> </w:t>
      </w:r>
      <w:r>
        <w:rPr>
          <w:rFonts w:ascii="Arial" w:hAnsi="Arial" w:cs="Arial"/>
          <w:sz w:val="24"/>
          <w:szCs w:val="24"/>
        </w:rPr>
        <w:t>que el enfoque de educación abierta impacta en el logro de una mejor educación; se logra el acceso a recursos educativos y experiencias educacionales de alta calidad más allá de las barreras geográficas o sociales, lo que redunda en una mejor preparación de los profesores y de los propios alumnos. enriqueciendo así el proceso educativo a partir de las múltiples miradas de todos los actores involucrados.</w:t>
      </w:r>
    </w:p>
    <w:p w:rsidR="00CC6E90" w:rsidRDefault="00CC6E90" w:rsidP="00CC6E90">
      <w:pPr>
        <w:spacing w:after="0"/>
        <w:jc w:val="both"/>
        <w:rPr>
          <w:rFonts w:ascii="Arial" w:hAnsi="Arial" w:cs="Arial"/>
          <w:i/>
          <w:sz w:val="24"/>
          <w:szCs w:val="24"/>
        </w:rPr>
      </w:pPr>
    </w:p>
    <w:p w:rsidR="00CC6E90" w:rsidRDefault="00CC6E90" w:rsidP="00CC6E90">
      <w:pPr>
        <w:spacing w:after="0"/>
        <w:jc w:val="both"/>
        <w:rPr>
          <w:rFonts w:ascii="Arial" w:hAnsi="Arial" w:cs="Arial"/>
          <w:i/>
          <w:sz w:val="24"/>
          <w:szCs w:val="24"/>
        </w:rPr>
      </w:pPr>
    </w:p>
    <w:p w:rsidR="00CC6E90" w:rsidRDefault="00CC6E90" w:rsidP="00CC6E90">
      <w:pPr>
        <w:spacing w:after="0"/>
        <w:jc w:val="both"/>
        <w:rPr>
          <w:rFonts w:ascii="Arial" w:hAnsi="Arial" w:cs="Arial"/>
          <w:i/>
          <w:sz w:val="24"/>
          <w:szCs w:val="24"/>
        </w:rPr>
      </w:pPr>
    </w:p>
    <w:p w:rsidR="00CC6E90" w:rsidRDefault="00CC6E90" w:rsidP="00CC6E90">
      <w:pPr>
        <w:spacing w:after="0"/>
        <w:jc w:val="both"/>
      </w:pPr>
      <w:r>
        <w:rPr>
          <w:rFonts w:ascii="Arial" w:hAnsi="Arial" w:cs="Arial"/>
          <w:b/>
          <w:bCs/>
          <w:i/>
          <w:sz w:val="24"/>
          <w:szCs w:val="24"/>
        </w:rPr>
        <w:t>Basándonos</w:t>
      </w:r>
      <w:r>
        <w:rPr>
          <w:rFonts w:ascii="Arial" w:hAnsi="Arial" w:cs="Arial"/>
          <w:sz w:val="24"/>
          <w:szCs w:val="24"/>
        </w:rPr>
        <w:t xml:space="preserve"> en la Recomendación de la UNESCO sobre ciencia abierta</w:t>
      </w:r>
      <w:r>
        <w:rPr>
          <w:rFonts w:ascii="Arial" w:hAnsi="Arial" w:cs="Arial"/>
          <w:sz w:val="24"/>
          <w:szCs w:val="24"/>
          <w:vertAlign w:val="superscript"/>
        </w:rPr>
        <w:footnoteReference w:id="14"/>
      </w:r>
      <w:r>
        <w:rPr>
          <w:rFonts w:ascii="Arial" w:hAnsi="Arial" w:cs="Arial"/>
          <w:sz w:val="24"/>
          <w:szCs w:val="24"/>
        </w:rPr>
        <w:t xml:space="preserve"> y sobre educación abierta</w:t>
      </w:r>
      <w:r>
        <w:rPr>
          <w:rFonts w:ascii="Arial" w:hAnsi="Arial" w:cs="Arial"/>
          <w:sz w:val="24"/>
          <w:szCs w:val="24"/>
          <w:vertAlign w:val="superscript"/>
        </w:rPr>
        <w:footnoteReference w:id="15"/>
      </w:r>
      <w:r>
        <w:rPr>
          <w:rFonts w:ascii="Arial" w:hAnsi="Arial" w:cs="Arial"/>
          <w:sz w:val="24"/>
          <w:szCs w:val="24"/>
        </w:rPr>
        <w:t>, donde sugiere a los estados miembros diseñar acciones que permitan la adopción de los postulados.</w:t>
      </w:r>
    </w:p>
    <w:p w:rsidR="00CC6E90" w:rsidRDefault="00CC6E90" w:rsidP="00CC6E90">
      <w:pPr>
        <w:spacing w:after="0"/>
        <w:jc w:val="both"/>
      </w:pPr>
      <w:r>
        <w:rPr>
          <w:rFonts w:ascii="Arial" w:hAnsi="Arial" w:cs="Arial"/>
          <w:i/>
          <w:sz w:val="24"/>
          <w:szCs w:val="24"/>
        </w:rPr>
        <w:t>Consciente</w:t>
      </w:r>
      <w:r>
        <w:rPr>
          <w:rFonts w:ascii="Arial" w:hAnsi="Arial" w:cs="Arial"/>
          <w:sz w:val="24"/>
          <w:szCs w:val="24"/>
        </w:rPr>
        <w:t xml:space="preserve"> de los antecedentes teóricos y metodológicos estudiados en el Taller de Lima, Perú en </w:t>
      </w:r>
      <w:proofErr w:type="gramStart"/>
      <w:r>
        <w:rPr>
          <w:rFonts w:ascii="Arial" w:hAnsi="Arial" w:cs="Arial"/>
          <w:sz w:val="24"/>
          <w:szCs w:val="24"/>
        </w:rPr>
        <w:t>2019,  en</w:t>
      </w:r>
      <w:proofErr w:type="gramEnd"/>
      <w:r>
        <w:rPr>
          <w:rFonts w:ascii="Arial" w:hAnsi="Arial" w:cs="Arial"/>
          <w:sz w:val="24"/>
          <w:szCs w:val="24"/>
        </w:rPr>
        <w:t xml:space="preserve"> el Taller de La Habana en 2022 de los miembros del proyecto ELINF- VLIRUOS; donde se presenta el status sobre Ciencia y Educación Abiertas de las universidades miembros del proyecto y con la participación de otras instituciones del MES en Cuba.</w:t>
      </w:r>
    </w:p>
    <w:p w:rsidR="00CC6E90" w:rsidRDefault="00CC6E90" w:rsidP="00CC6E90">
      <w:pPr>
        <w:spacing w:after="0" w:line="240" w:lineRule="auto"/>
        <w:jc w:val="both"/>
        <w:rPr>
          <w:rFonts w:ascii="Arial" w:hAnsi="Arial" w:cs="Arial"/>
          <w:b/>
          <w:sz w:val="24"/>
          <w:szCs w:val="24"/>
        </w:rPr>
      </w:pPr>
    </w:p>
    <w:p w:rsidR="00CC6E90" w:rsidRDefault="00CC6E90" w:rsidP="00CC6E90">
      <w:pPr>
        <w:spacing w:after="0"/>
        <w:jc w:val="both"/>
      </w:pPr>
      <w:r>
        <w:rPr>
          <w:rFonts w:ascii="Arial" w:hAnsi="Arial" w:cs="Arial"/>
          <w:sz w:val="24"/>
          <w:szCs w:val="24"/>
          <w:lang w:val="es-ES"/>
        </w:rPr>
        <w:t>De forma resumida, en estas recomendaciones se hace hincapié en la adopción de políticas institucionales en favor de la </w:t>
      </w:r>
      <w:r>
        <w:rPr>
          <w:rFonts w:ascii="Arial" w:hAnsi="Arial" w:cs="Arial"/>
          <w:i/>
          <w:iCs/>
          <w:sz w:val="24"/>
          <w:szCs w:val="24"/>
          <w:lang w:val="es-ES"/>
        </w:rPr>
        <w:t>ciencia abierta,</w:t>
      </w:r>
      <w:r>
        <w:rPr>
          <w:rFonts w:ascii="Arial" w:hAnsi="Arial" w:cs="Arial"/>
          <w:sz w:val="24"/>
          <w:szCs w:val="24"/>
          <w:lang w:val="es-ES"/>
        </w:rPr>
        <w:t> en la creación de servicios a los investigadores de formación y promoción del nuevo paradigma en la adopción de estándares que contribuyan a la interoperabilidad entre sistemas, incentivación a los investigadores y reconocimiento de la actividad investigadora basado en nuevas métricas.</w:t>
      </w: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sz w:val="24"/>
          <w:szCs w:val="24"/>
        </w:rPr>
      </w:pPr>
    </w:p>
    <w:p w:rsidR="00CC6E90" w:rsidRDefault="00CC6E90" w:rsidP="00CC6E90">
      <w:pPr>
        <w:spacing w:after="0"/>
        <w:jc w:val="both"/>
        <w:rPr>
          <w:rFonts w:ascii="Arial" w:hAnsi="Arial" w:cs="Arial"/>
          <w:b/>
          <w:bCs/>
          <w:sz w:val="24"/>
          <w:szCs w:val="24"/>
        </w:rPr>
      </w:pPr>
    </w:p>
    <w:p w:rsidR="00CC6E90" w:rsidRDefault="00CC6E90" w:rsidP="00CC6E90">
      <w:pPr>
        <w:spacing w:after="0"/>
        <w:jc w:val="both"/>
        <w:rPr>
          <w:rFonts w:ascii="Arial" w:hAnsi="Arial" w:cs="Arial"/>
          <w:b/>
          <w:bCs/>
          <w:sz w:val="24"/>
          <w:szCs w:val="24"/>
        </w:rPr>
      </w:pPr>
      <w:r>
        <w:rPr>
          <w:rFonts w:ascii="Arial" w:hAnsi="Arial" w:cs="Arial"/>
          <w:b/>
          <w:bCs/>
          <w:sz w:val="24"/>
          <w:szCs w:val="24"/>
        </w:rPr>
        <w:t>RECOMENDACIONES</w:t>
      </w:r>
    </w:p>
    <w:p w:rsidR="00CC6E90" w:rsidRDefault="00CC6E90" w:rsidP="00CC6E90">
      <w:pPr>
        <w:spacing w:after="0"/>
        <w:jc w:val="both"/>
        <w:rPr>
          <w:rFonts w:ascii="Arial" w:hAnsi="Arial" w:cs="Arial"/>
          <w:b/>
          <w:bCs/>
          <w:sz w:val="24"/>
          <w:szCs w:val="24"/>
        </w:rPr>
      </w:pPr>
    </w:p>
    <w:p w:rsidR="00CC6E90" w:rsidRDefault="00CC6E90" w:rsidP="00CC6E90">
      <w:pPr>
        <w:numPr>
          <w:ilvl w:val="0"/>
          <w:numId w:val="4"/>
        </w:numPr>
        <w:spacing w:after="0" w:line="276" w:lineRule="auto"/>
        <w:jc w:val="both"/>
      </w:pPr>
      <w:r>
        <w:rPr>
          <w:rFonts w:ascii="Arial" w:hAnsi="Arial" w:cs="Arial"/>
          <w:i/>
          <w:sz w:val="24"/>
          <w:szCs w:val="24"/>
        </w:rPr>
        <w:t>Se recomienda</w:t>
      </w:r>
      <w:r>
        <w:rPr>
          <w:rFonts w:ascii="Arial" w:hAnsi="Arial" w:cs="Arial"/>
          <w:sz w:val="24"/>
          <w:szCs w:val="24"/>
        </w:rPr>
        <w:t xml:space="preserve"> que las universidades adscritas al MES apliquen las disposiciones recogidas en el presente documento. Para ello pueden generar resoluciones y normativas que respaldan jurídicamente lo aquí expuesto.</w:t>
      </w:r>
    </w:p>
    <w:p w:rsidR="00CC6E90" w:rsidRDefault="00CC6E90" w:rsidP="00CC6E90">
      <w:pPr>
        <w:numPr>
          <w:ilvl w:val="0"/>
          <w:numId w:val="4"/>
        </w:numPr>
        <w:spacing w:after="0" w:line="276" w:lineRule="auto"/>
        <w:jc w:val="both"/>
      </w:pPr>
      <w:r>
        <w:rPr>
          <w:rFonts w:ascii="Arial" w:hAnsi="Arial" w:cs="Arial"/>
          <w:i/>
          <w:sz w:val="24"/>
          <w:szCs w:val="24"/>
        </w:rPr>
        <w:t>Se recomienda</w:t>
      </w:r>
      <w:r>
        <w:rPr>
          <w:rFonts w:ascii="Arial" w:hAnsi="Arial" w:cs="Arial"/>
          <w:sz w:val="24"/>
          <w:szCs w:val="24"/>
        </w:rPr>
        <w:t xml:space="preserve"> que todos los consejos de dirección de las universidades discutan el documento, fundamentalmente con la presencia de las estructuras organizativas encargadas de los procesos de ciencia y tecnología y departamentos jurídicos.</w:t>
      </w:r>
    </w:p>
    <w:p w:rsidR="00CC6E90" w:rsidRDefault="00CC6E90" w:rsidP="00CC6E90">
      <w:pPr>
        <w:numPr>
          <w:ilvl w:val="0"/>
          <w:numId w:val="4"/>
        </w:numPr>
        <w:spacing w:after="0" w:line="276" w:lineRule="auto"/>
        <w:jc w:val="both"/>
      </w:pPr>
      <w:r>
        <w:rPr>
          <w:rFonts w:ascii="Arial" w:hAnsi="Arial" w:cs="Arial"/>
          <w:i/>
          <w:sz w:val="24"/>
          <w:szCs w:val="24"/>
        </w:rPr>
        <w:t xml:space="preserve">Se recomienda </w:t>
      </w:r>
      <w:r>
        <w:rPr>
          <w:rFonts w:ascii="Arial" w:hAnsi="Arial" w:cs="Arial"/>
          <w:sz w:val="24"/>
          <w:szCs w:val="24"/>
        </w:rPr>
        <w:t>que las universidades participen en iniciativas regionales, nacionales e internacionales que favorezcan el desarrollo de las temáticas de ciencia y educación abierta.</w:t>
      </w:r>
    </w:p>
    <w:p w:rsidR="00CC6E90" w:rsidRDefault="00CC6E90" w:rsidP="00CC6E90">
      <w:pPr>
        <w:numPr>
          <w:ilvl w:val="0"/>
          <w:numId w:val="4"/>
        </w:numPr>
        <w:spacing w:after="0" w:line="276" w:lineRule="auto"/>
        <w:jc w:val="both"/>
      </w:pPr>
      <w:r>
        <w:rPr>
          <w:rFonts w:ascii="Arial" w:hAnsi="Arial" w:cs="Arial"/>
          <w:i/>
          <w:sz w:val="24"/>
          <w:szCs w:val="24"/>
        </w:rPr>
        <w:t>Se recomienda</w:t>
      </w:r>
      <w:r>
        <w:rPr>
          <w:rFonts w:ascii="Arial" w:hAnsi="Arial" w:cs="Arial"/>
          <w:sz w:val="24"/>
          <w:szCs w:val="24"/>
        </w:rPr>
        <w:t xml:space="preserve"> establecer por cada universidad un cronograma para la adopción e implementación de las disposiciones recogidas en el presente documento.</w:t>
      </w:r>
    </w:p>
    <w:p w:rsidR="00CC6E90" w:rsidRDefault="00CC6E90" w:rsidP="00CC6E90">
      <w:pPr>
        <w:spacing w:after="0" w:line="240" w:lineRule="auto"/>
        <w:jc w:val="both"/>
        <w:rPr>
          <w:rFonts w:ascii="Arial" w:hAnsi="Arial" w:cs="Arial"/>
          <w:b/>
          <w:sz w:val="24"/>
          <w:szCs w:val="24"/>
        </w:rPr>
      </w:pPr>
    </w:p>
    <w:p w:rsidR="00CC6E90" w:rsidRDefault="00CC6E90" w:rsidP="00CC6E90">
      <w:pPr>
        <w:rPr>
          <w:rFonts w:ascii="Arial" w:eastAsia="Times New Roman" w:hAnsi="Arial" w:cs="Arial"/>
          <w:sz w:val="24"/>
          <w:szCs w:val="24"/>
          <w:lang w:eastAsia="es-ES"/>
        </w:rPr>
      </w:pPr>
    </w:p>
    <w:p w:rsidR="00CC6E90" w:rsidRPr="002463FB" w:rsidRDefault="00CC6E90" w:rsidP="00CC6E90">
      <w:pPr>
        <w:ind w:right="1417"/>
        <w:jc w:val="both"/>
        <w:rPr>
          <w:rFonts w:ascii="Arial" w:hAnsi="Arial" w:cs="Arial"/>
          <w:b/>
          <w:bCs/>
          <w:sz w:val="24"/>
          <w:szCs w:val="24"/>
          <w:lang w:val="en-GB"/>
        </w:rPr>
      </w:pPr>
      <w:r w:rsidRPr="002463FB">
        <w:rPr>
          <w:rFonts w:ascii="Arial" w:hAnsi="Arial" w:cs="Arial"/>
          <w:b/>
          <w:bCs/>
          <w:sz w:val="24"/>
          <w:szCs w:val="24"/>
          <w:lang w:val="en-GB"/>
        </w:rPr>
        <w:t>AGRADECIMIENTOS</w:t>
      </w:r>
    </w:p>
    <w:p w:rsidR="00CC6E90" w:rsidRDefault="00CC6E90" w:rsidP="00CC6E90">
      <w:pPr>
        <w:ind w:right="4"/>
        <w:jc w:val="both"/>
        <w:rPr>
          <w:rFonts w:ascii="Arial" w:hAnsi="Arial" w:cs="Arial"/>
          <w:sz w:val="24"/>
          <w:szCs w:val="24"/>
          <w:lang w:val="en-GB"/>
        </w:rPr>
      </w:pPr>
      <w:r>
        <w:rPr>
          <w:rFonts w:ascii="Arial" w:hAnsi="Arial" w:cs="Arial"/>
          <w:sz w:val="24"/>
          <w:szCs w:val="24"/>
          <w:lang w:val="en-GB"/>
        </w:rPr>
        <w:t xml:space="preserve">Los </w:t>
      </w:r>
      <w:proofErr w:type="spellStart"/>
      <w:r>
        <w:rPr>
          <w:rFonts w:ascii="Arial" w:hAnsi="Arial" w:cs="Arial"/>
          <w:sz w:val="24"/>
          <w:szCs w:val="24"/>
          <w:lang w:val="en-GB"/>
        </w:rPr>
        <w:t>autores</w:t>
      </w:r>
      <w:proofErr w:type="spellEnd"/>
      <w:r>
        <w:rPr>
          <w:rFonts w:ascii="Arial" w:hAnsi="Arial" w:cs="Arial"/>
          <w:sz w:val="24"/>
          <w:szCs w:val="24"/>
          <w:lang w:val="en-GB"/>
        </w:rPr>
        <w:t xml:space="preserve"> </w:t>
      </w:r>
      <w:proofErr w:type="spellStart"/>
      <w:r>
        <w:rPr>
          <w:rFonts w:ascii="Arial" w:hAnsi="Arial" w:cs="Arial"/>
          <w:sz w:val="24"/>
          <w:szCs w:val="24"/>
          <w:lang w:val="en-GB"/>
        </w:rPr>
        <w:t>agradecen</w:t>
      </w:r>
      <w:proofErr w:type="spellEnd"/>
      <w:r>
        <w:rPr>
          <w:rFonts w:ascii="Arial" w:hAnsi="Arial" w:cs="Arial"/>
          <w:sz w:val="24"/>
          <w:szCs w:val="24"/>
          <w:lang w:val="en-GB"/>
        </w:rPr>
        <w:t xml:space="preserve"> el </w:t>
      </w:r>
      <w:proofErr w:type="spellStart"/>
      <w:r>
        <w:rPr>
          <w:rFonts w:ascii="Arial" w:hAnsi="Arial" w:cs="Arial"/>
          <w:sz w:val="24"/>
          <w:szCs w:val="24"/>
          <w:lang w:val="en-GB"/>
        </w:rPr>
        <w:t>apoyo</w:t>
      </w:r>
      <w:proofErr w:type="spellEnd"/>
      <w:r>
        <w:rPr>
          <w:rFonts w:ascii="Arial" w:hAnsi="Arial" w:cs="Arial"/>
          <w:sz w:val="24"/>
          <w:szCs w:val="24"/>
          <w:lang w:val="en-GB"/>
        </w:rPr>
        <w:t xml:space="preserve"> </w:t>
      </w:r>
      <w:proofErr w:type="spellStart"/>
      <w:r>
        <w:rPr>
          <w:rFonts w:ascii="Arial" w:hAnsi="Arial" w:cs="Arial"/>
          <w:sz w:val="24"/>
          <w:szCs w:val="24"/>
          <w:lang w:val="en-GB"/>
        </w:rPr>
        <w:t>brindado</w:t>
      </w:r>
      <w:proofErr w:type="spellEnd"/>
      <w:r>
        <w:rPr>
          <w:rFonts w:ascii="Arial" w:hAnsi="Arial" w:cs="Arial"/>
          <w:sz w:val="24"/>
          <w:szCs w:val="24"/>
          <w:lang w:val="en-GB"/>
        </w:rPr>
        <w:t xml:space="preserve"> </w:t>
      </w:r>
      <w:proofErr w:type="spellStart"/>
      <w:r>
        <w:rPr>
          <w:rFonts w:ascii="Arial" w:hAnsi="Arial" w:cs="Arial"/>
          <w:sz w:val="24"/>
          <w:szCs w:val="24"/>
          <w:lang w:val="en-GB"/>
        </w:rPr>
        <w:t>por</w:t>
      </w:r>
      <w:proofErr w:type="spellEnd"/>
      <w:r>
        <w:rPr>
          <w:rFonts w:ascii="Arial" w:hAnsi="Arial" w:cs="Arial"/>
          <w:sz w:val="24"/>
          <w:szCs w:val="24"/>
          <w:lang w:val="en-GB"/>
        </w:rPr>
        <w:t xml:space="preserve"> el </w:t>
      </w:r>
      <w:proofErr w:type="spellStart"/>
      <w:r>
        <w:rPr>
          <w:rFonts w:ascii="Arial" w:hAnsi="Arial" w:cs="Arial"/>
          <w:sz w:val="24"/>
          <w:szCs w:val="24"/>
          <w:lang w:val="en-GB"/>
        </w:rPr>
        <w:t>proyecto</w:t>
      </w:r>
      <w:proofErr w:type="spellEnd"/>
      <w:r>
        <w:rPr>
          <w:rFonts w:ascii="Arial" w:hAnsi="Arial" w:cs="Arial"/>
          <w:sz w:val="24"/>
          <w:szCs w:val="24"/>
          <w:lang w:val="en-GB"/>
        </w:rPr>
        <w:t xml:space="preserve"> “ICT supporting the educational processes and the knowledge management in higher education” (</w:t>
      </w:r>
      <w:proofErr w:type="spellStart"/>
      <w:r>
        <w:rPr>
          <w:rFonts w:ascii="Arial" w:hAnsi="Arial" w:cs="Arial"/>
          <w:sz w:val="24"/>
          <w:szCs w:val="24"/>
          <w:lang w:val="en-GB"/>
        </w:rPr>
        <w:t>ELiNF</w:t>
      </w:r>
      <w:proofErr w:type="spellEnd"/>
      <w:r>
        <w:rPr>
          <w:rFonts w:ascii="Arial" w:hAnsi="Arial" w:cs="Arial"/>
          <w:sz w:val="24"/>
          <w:szCs w:val="24"/>
          <w:lang w:val="en-GB"/>
        </w:rPr>
        <w:t xml:space="preserve">) </w:t>
      </w:r>
      <w:proofErr w:type="spellStart"/>
      <w:r>
        <w:rPr>
          <w:rFonts w:ascii="Arial" w:hAnsi="Arial" w:cs="Arial"/>
          <w:sz w:val="24"/>
          <w:szCs w:val="24"/>
          <w:lang w:val="en-GB"/>
        </w:rPr>
        <w:t>como</w:t>
      </w:r>
      <w:proofErr w:type="spellEnd"/>
      <w:r>
        <w:rPr>
          <w:rFonts w:ascii="Arial" w:hAnsi="Arial" w:cs="Arial"/>
          <w:sz w:val="24"/>
          <w:szCs w:val="24"/>
          <w:lang w:val="en-GB"/>
        </w:rPr>
        <w:t xml:space="preserve"> parte de Ne- </w:t>
      </w:r>
      <w:proofErr w:type="spellStart"/>
      <w:r>
        <w:rPr>
          <w:rFonts w:ascii="Arial" w:hAnsi="Arial" w:cs="Arial"/>
          <w:sz w:val="24"/>
          <w:szCs w:val="24"/>
          <w:lang w:val="en-GB"/>
        </w:rPr>
        <w:t>twork</w:t>
      </w:r>
      <w:proofErr w:type="spellEnd"/>
      <w:r>
        <w:rPr>
          <w:rFonts w:ascii="Arial" w:hAnsi="Arial" w:cs="Arial"/>
          <w:sz w:val="24"/>
          <w:szCs w:val="24"/>
          <w:lang w:val="en-GB"/>
        </w:rPr>
        <w:t xml:space="preserve"> University Cooperation “Strengthening of the role of ICT in Cuban Universities for the development of the society”, para el </w:t>
      </w:r>
      <w:proofErr w:type="spellStart"/>
      <w:r>
        <w:rPr>
          <w:rFonts w:ascii="Arial" w:hAnsi="Arial" w:cs="Arial"/>
          <w:sz w:val="24"/>
          <w:szCs w:val="24"/>
          <w:lang w:val="en-GB"/>
        </w:rPr>
        <w:t>desarrollo</w:t>
      </w:r>
      <w:proofErr w:type="spellEnd"/>
      <w:r>
        <w:rPr>
          <w:rFonts w:ascii="Arial" w:hAnsi="Arial" w:cs="Arial"/>
          <w:sz w:val="24"/>
          <w:szCs w:val="24"/>
          <w:lang w:val="en-GB"/>
        </w:rPr>
        <w:t xml:space="preserve"> de </w:t>
      </w:r>
      <w:proofErr w:type="spellStart"/>
      <w:r>
        <w:rPr>
          <w:rFonts w:ascii="Arial" w:hAnsi="Arial" w:cs="Arial"/>
          <w:sz w:val="24"/>
          <w:szCs w:val="24"/>
          <w:lang w:val="en-GB"/>
        </w:rPr>
        <w:t>este</w:t>
      </w:r>
      <w:proofErr w:type="spellEnd"/>
      <w:r>
        <w:rPr>
          <w:rFonts w:ascii="Arial" w:hAnsi="Arial" w:cs="Arial"/>
          <w:sz w:val="24"/>
          <w:szCs w:val="24"/>
          <w:lang w:val="en-GB"/>
        </w:rPr>
        <w:t xml:space="preserve"> </w:t>
      </w:r>
      <w:proofErr w:type="spellStart"/>
      <w:r>
        <w:rPr>
          <w:rFonts w:ascii="Arial" w:hAnsi="Arial" w:cs="Arial"/>
          <w:sz w:val="24"/>
          <w:szCs w:val="24"/>
          <w:lang w:val="en-GB"/>
        </w:rPr>
        <w:t>trabajo</w:t>
      </w:r>
      <w:proofErr w:type="spellEnd"/>
      <w:r>
        <w:rPr>
          <w:rFonts w:ascii="Arial" w:hAnsi="Arial" w:cs="Arial"/>
          <w:sz w:val="24"/>
          <w:szCs w:val="24"/>
          <w:lang w:val="en-GB"/>
        </w:rPr>
        <w:t xml:space="preserve">. </w:t>
      </w:r>
    </w:p>
    <w:p w:rsidR="00CC6E90" w:rsidRDefault="00CC6E90" w:rsidP="00CC6E90">
      <w:pPr>
        <w:ind w:left="1417" w:right="1417"/>
        <w:rPr>
          <w:lang w:val="en-GB"/>
        </w:rPr>
      </w:pPr>
    </w:p>
    <w:p w:rsidR="00B33116" w:rsidRDefault="00B33116"/>
    <w:sectPr w:rsidR="00B331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B66" w:rsidRDefault="00B86B66" w:rsidP="00CC6E90">
      <w:pPr>
        <w:spacing w:after="0" w:line="240" w:lineRule="auto"/>
      </w:pPr>
      <w:r>
        <w:separator/>
      </w:r>
    </w:p>
  </w:endnote>
  <w:endnote w:type="continuationSeparator" w:id="0">
    <w:p w:rsidR="00B86B66" w:rsidRDefault="00B86B66" w:rsidP="00CC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B66" w:rsidRDefault="00B86B66" w:rsidP="00CC6E90">
      <w:pPr>
        <w:spacing w:after="0" w:line="240" w:lineRule="auto"/>
      </w:pPr>
      <w:r>
        <w:separator/>
      </w:r>
    </w:p>
  </w:footnote>
  <w:footnote w:type="continuationSeparator" w:id="0">
    <w:p w:rsidR="00B86B66" w:rsidRDefault="00B86B66" w:rsidP="00CC6E90">
      <w:pPr>
        <w:spacing w:after="0" w:line="240" w:lineRule="auto"/>
      </w:pPr>
      <w:r>
        <w:continuationSeparator/>
      </w:r>
    </w:p>
  </w:footnote>
  <w:footnote w:id="1">
    <w:p w:rsidR="00CC6E90" w:rsidRPr="002463FB" w:rsidRDefault="00CC6E90" w:rsidP="00CC6E90">
      <w:pPr>
        <w:spacing w:line="240" w:lineRule="auto"/>
        <w:rPr>
          <w:lang w:val="en-GB"/>
        </w:rPr>
      </w:pPr>
      <w:r>
        <w:rPr>
          <w:rStyle w:val="Refdenotaalpie"/>
        </w:rPr>
        <w:footnoteRef/>
      </w:r>
      <w:r>
        <w:rPr>
          <w:sz w:val="20"/>
          <w:szCs w:val="20"/>
        </w:rPr>
        <w:t xml:space="preserve"> Vidal Ledo, M., Zayas Mujica, R., &amp; Alfonso Sánchez, I. (</w:t>
      </w:r>
      <w:proofErr w:type="gramStart"/>
      <w:r>
        <w:rPr>
          <w:sz w:val="20"/>
          <w:szCs w:val="20"/>
        </w:rPr>
        <w:t>2018 )</w:t>
      </w:r>
      <w:proofErr w:type="gramEnd"/>
      <w:r>
        <w:rPr>
          <w:sz w:val="20"/>
          <w:szCs w:val="20"/>
        </w:rPr>
        <w:t xml:space="preserve">. </w:t>
      </w:r>
      <w:r>
        <w:rPr>
          <w:sz w:val="20"/>
          <w:szCs w:val="20"/>
          <w:lang w:val="en-US"/>
        </w:rPr>
        <w:t xml:space="preserve">Open Science. </w:t>
      </w:r>
      <w:proofErr w:type="spellStart"/>
      <w:r>
        <w:rPr>
          <w:i/>
          <w:sz w:val="20"/>
          <w:szCs w:val="20"/>
          <w:lang w:val="en-US"/>
        </w:rPr>
        <w:t>Revista</w:t>
      </w:r>
      <w:proofErr w:type="spellEnd"/>
      <w:r>
        <w:rPr>
          <w:i/>
          <w:sz w:val="20"/>
          <w:szCs w:val="20"/>
          <w:lang w:val="en-US"/>
        </w:rPr>
        <w:t xml:space="preserve"> </w:t>
      </w:r>
      <w:proofErr w:type="spellStart"/>
      <w:r>
        <w:rPr>
          <w:i/>
          <w:sz w:val="20"/>
          <w:szCs w:val="20"/>
          <w:lang w:val="en-US"/>
        </w:rPr>
        <w:t>Cubana</w:t>
      </w:r>
      <w:proofErr w:type="spellEnd"/>
      <w:r>
        <w:rPr>
          <w:i/>
          <w:sz w:val="20"/>
          <w:szCs w:val="20"/>
          <w:lang w:val="en-US"/>
        </w:rPr>
        <w:t xml:space="preserve"> de </w:t>
      </w:r>
      <w:proofErr w:type="spellStart"/>
      <w:r>
        <w:rPr>
          <w:i/>
          <w:sz w:val="20"/>
          <w:szCs w:val="20"/>
          <w:lang w:val="en-US"/>
        </w:rPr>
        <w:t>Educación</w:t>
      </w:r>
      <w:proofErr w:type="spellEnd"/>
      <w:r>
        <w:rPr>
          <w:i/>
          <w:sz w:val="20"/>
          <w:szCs w:val="20"/>
          <w:lang w:val="en-US"/>
        </w:rPr>
        <w:t xml:space="preserve"> </w:t>
      </w:r>
      <w:proofErr w:type="spellStart"/>
      <w:r>
        <w:rPr>
          <w:i/>
          <w:sz w:val="20"/>
          <w:szCs w:val="20"/>
          <w:lang w:val="en-US"/>
        </w:rPr>
        <w:t>Médica</w:t>
      </w:r>
      <w:proofErr w:type="spellEnd"/>
      <w:r>
        <w:rPr>
          <w:i/>
          <w:sz w:val="20"/>
          <w:szCs w:val="20"/>
          <w:lang w:val="en-US"/>
        </w:rPr>
        <w:t xml:space="preserve"> Superior, 32</w:t>
      </w:r>
      <w:r>
        <w:rPr>
          <w:sz w:val="20"/>
          <w:szCs w:val="20"/>
          <w:lang w:val="en-US"/>
        </w:rPr>
        <w:t>(4), 303-317.</w:t>
      </w:r>
    </w:p>
  </w:footnote>
  <w:footnote w:id="2">
    <w:p w:rsidR="00CC6E90" w:rsidRPr="002463FB" w:rsidRDefault="00CC6E90" w:rsidP="00CC6E90">
      <w:pPr>
        <w:spacing w:line="240" w:lineRule="auto"/>
        <w:jc w:val="both"/>
        <w:rPr>
          <w:lang w:val="en-GB"/>
        </w:rPr>
      </w:pPr>
      <w:r>
        <w:rPr>
          <w:rStyle w:val="Refdenotaalpie"/>
        </w:rPr>
        <w:footnoteRef/>
      </w:r>
      <w:r>
        <w:rPr>
          <w:sz w:val="20"/>
          <w:szCs w:val="20"/>
          <w:lang w:val="en-US"/>
        </w:rPr>
        <w:t xml:space="preserve"> </w:t>
      </w:r>
      <w:proofErr w:type="spellStart"/>
      <w:r>
        <w:rPr>
          <w:sz w:val="19"/>
          <w:szCs w:val="19"/>
          <w:lang w:val="en-US"/>
        </w:rPr>
        <w:t>Pontika</w:t>
      </w:r>
      <w:proofErr w:type="spellEnd"/>
      <w:r>
        <w:rPr>
          <w:sz w:val="19"/>
          <w:szCs w:val="19"/>
          <w:lang w:val="en-US"/>
        </w:rPr>
        <w:t xml:space="preserve">, Nancy; </w:t>
      </w:r>
      <w:proofErr w:type="spellStart"/>
      <w:r>
        <w:rPr>
          <w:sz w:val="19"/>
          <w:szCs w:val="19"/>
          <w:lang w:val="en-US"/>
        </w:rPr>
        <w:t>Knoth</w:t>
      </w:r>
      <w:proofErr w:type="spellEnd"/>
      <w:r>
        <w:rPr>
          <w:sz w:val="19"/>
          <w:szCs w:val="19"/>
          <w:lang w:val="en-US"/>
        </w:rPr>
        <w:t xml:space="preserve">, Petr; </w:t>
      </w:r>
      <w:proofErr w:type="spellStart"/>
      <w:r>
        <w:rPr>
          <w:sz w:val="19"/>
          <w:szCs w:val="19"/>
          <w:lang w:val="en-US"/>
        </w:rPr>
        <w:t>Cancellieri</w:t>
      </w:r>
      <w:proofErr w:type="spellEnd"/>
      <w:r>
        <w:rPr>
          <w:sz w:val="19"/>
          <w:szCs w:val="19"/>
          <w:lang w:val="en-US"/>
        </w:rPr>
        <w:t xml:space="preserve">, Matteo; Pearce, Samuel (2015). “Fostering open science to research using a taxonomy and an eLearning portal”. En: </w:t>
      </w:r>
      <w:proofErr w:type="spellStart"/>
      <w:r>
        <w:rPr>
          <w:sz w:val="19"/>
          <w:szCs w:val="19"/>
          <w:lang w:val="en-US"/>
        </w:rPr>
        <w:t>iKnow</w:t>
      </w:r>
      <w:proofErr w:type="spellEnd"/>
      <w:r>
        <w:rPr>
          <w:sz w:val="19"/>
          <w:szCs w:val="19"/>
          <w:lang w:val="en-US"/>
        </w:rPr>
        <w:t xml:space="preserve">: 15th International Conference on Knowledge Technologies and Data Driven Business, 21-22 October 2015, Graz, </w:t>
      </w:r>
      <w:proofErr w:type="spellStart"/>
      <w:r>
        <w:rPr>
          <w:sz w:val="19"/>
          <w:szCs w:val="19"/>
          <w:lang w:val="en-US"/>
        </w:rPr>
        <w:t>Austria.https</w:t>
      </w:r>
      <w:proofErr w:type="spellEnd"/>
      <w:r>
        <w:rPr>
          <w:sz w:val="19"/>
          <w:szCs w:val="19"/>
          <w:lang w:val="en-US"/>
        </w:rPr>
        <w:t>://doi.org/10.1145/2809563.280957</w:t>
      </w:r>
    </w:p>
  </w:footnote>
  <w:footnote w:id="3">
    <w:p w:rsidR="00CC6E90" w:rsidRPr="002463FB" w:rsidRDefault="00CC6E90" w:rsidP="00CC6E90">
      <w:pPr>
        <w:spacing w:line="240" w:lineRule="auto"/>
        <w:jc w:val="both"/>
        <w:rPr>
          <w:lang w:val="en-GB"/>
        </w:rPr>
      </w:pPr>
      <w:r>
        <w:rPr>
          <w:rStyle w:val="Refdenotaalpie"/>
        </w:rPr>
        <w:footnoteRef/>
      </w:r>
      <w:r>
        <w:rPr>
          <w:sz w:val="20"/>
          <w:szCs w:val="20"/>
          <w:lang w:val="en-US"/>
        </w:rPr>
        <w:t xml:space="preserve"> </w:t>
      </w:r>
      <w:proofErr w:type="spellStart"/>
      <w:r>
        <w:rPr>
          <w:sz w:val="19"/>
          <w:szCs w:val="19"/>
          <w:lang w:val="en-US"/>
        </w:rPr>
        <w:t>Masuzzo</w:t>
      </w:r>
      <w:proofErr w:type="spellEnd"/>
      <w:r>
        <w:rPr>
          <w:sz w:val="19"/>
          <w:szCs w:val="19"/>
          <w:lang w:val="en-US"/>
        </w:rPr>
        <w:t xml:space="preserve">, Paola; Martens, Lennart (2017). “Do you speak open science? Resources and tips to learn the language”. </w:t>
      </w:r>
      <w:proofErr w:type="spellStart"/>
      <w:r>
        <w:rPr>
          <w:sz w:val="19"/>
          <w:szCs w:val="19"/>
          <w:lang w:val="en-US"/>
        </w:rPr>
        <w:t>PeerJ</w:t>
      </w:r>
      <w:proofErr w:type="spellEnd"/>
      <w:r>
        <w:rPr>
          <w:sz w:val="19"/>
          <w:szCs w:val="19"/>
          <w:lang w:val="en-US"/>
        </w:rPr>
        <w:t xml:space="preserve"> Preprints. https://doi.org/10.7287/peerj.preprints.2689v</w:t>
      </w:r>
    </w:p>
  </w:footnote>
  <w:footnote w:id="4">
    <w:p w:rsidR="00CC6E90" w:rsidRDefault="00CC6E90" w:rsidP="00CC6E90">
      <w:pPr>
        <w:spacing w:line="240" w:lineRule="auto"/>
      </w:pPr>
      <w:r>
        <w:rPr>
          <w:rStyle w:val="Refdenotaalpie"/>
        </w:rPr>
        <w:footnoteRef/>
      </w:r>
      <w:r>
        <w:rPr>
          <w:sz w:val="20"/>
          <w:szCs w:val="20"/>
        </w:rPr>
        <w:t xml:space="preserve"> Meneses Placeres, G., Álvarez Reinaldo, L. A., &amp; Machado Rivero, M. O. (2022). Revisión de las prácticas de Ciencia Abierta en América Latina y el Caribe. </w:t>
      </w:r>
      <w:r>
        <w:rPr>
          <w:i/>
          <w:sz w:val="20"/>
          <w:szCs w:val="20"/>
        </w:rPr>
        <w:t>Revista Cubana de Transformación Digital</w:t>
      </w:r>
      <w:r>
        <w:rPr>
          <w:sz w:val="20"/>
          <w:szCs w:val="20"/>
        </w:rPr>
        <w:t xml:space="preserve">, </w:t>
      </w:r>
      <w:r>
        <w:rPr>
          <w:i/>
          <w:sz w:val="20"/>
          <w:szCs w:val="20"/>
        </w:rPr>
        <w:t>3</w:t>
      </w:r>
      <w:r>
        <w:rPr>
          <w:sz w:val="20"/>
          <w:szCs w:val="20"/>
        </w:rPr>
        <w:t>(1), e159. Recuperado a partir de https://rctd.uic.cu/rctd/article/view/159</w:t>
      </w:r>
    </w:p>
  </w:footnote>
  <w:footnote w:id="5">
    <w:p w:rsidR="00CC6E90" w:rsidRDefault="00CC6E90" w:rsidP="00CC6E90">
      <w:pPr>
        <w:spacing w:line="240" w:lineRule="auto"/>
        <w:jc w:val="both"/>
      </w:pPr>
      <w:r>
        <w:rPr>
          <w:rStyle w:val="Refdenotaalpie"/>
        </w:rPr>
        <w:footnoteRef/>
      </w:r>
      <w:r>
        <w:rPr>
          <w:sz w:val="20"/>
          <w:szCs w:val="20"/>
        </w:rPr>
        <w:t xml:space="preserve"> </w:t>
      </w:r>
      <w:proofErr w:type="spellStart"/>
      <w:r>
        <w:rPr>
          <w:sz w:val="19"/>
          <w:szCs w:val="19"/>
        </w:rPr>
        <w:t>Anglada</w:t>
      </w:r>
      <w:proofErr w:type="spellEnd"/>
      <w:r>
        <w:rPr>
          <w:sz w:val="19"/>
          <w:szCs w:val="19"/>
        </w:rPr>
        <w:t xml:space="preserve">, Lluís; </w:t>
      </w:r>
      <w:proofErr w:type="spellStart"/>
      <w:r>
        <w:rPr>
          <w:sz w:val="19"/>
          <w:szCs w:val="19"/>
        </w:rPr>
        <w:t>Abadal</w:t>
      </w:r>
      <w:proofErr w:type="spellEnd"/>
      <w:r>
        <w:rPr>
          <w:sz w:val="19"/>
          <w:szCs w:val="19"/>
        </w:rPr>
        <w:t xml:space="preserve">, </w:t>
      </w:r>
      <w:proofErr w:type="spellStart"/>
      <w:r>
        <w:rPr>
          <w:sz w:val="19"/>
          <w:szCs w:val="19"/>
        </w:rPr>
        <w:t>Ernest</w:t>
      </w:r>
      <w:proofErr w:type="spellEnd"/>
      <w:r>
        <w:rPr>
          <w:sz w:val="19"/>
          <w:szCs w:val="19"/>
        </w:rPr>
        <w:t xml:space="preserve"> (2018). “¿Qué es la ciencia abierta?”. Anuario </w:t>
      </w:r>
      <w:proofErr w:type="spellStart"/>
      <w:r>
        <w:rPr>
          <w:sz w:val="19"/>
          <w:szCs w:val="19"/>
        </w:rPr>
        <w:t>ThinkEPI</w:t>
      </w:r>
      <w:proofErr w:type="spellEnd"/>
      <w:r>
        <w:rPr>
          <w:sz w:val="19"/>
          <w:szCs w:val="19"/>
        </w:rPr>
        <w:t>, v. 12, pp. 292-298.</w:t>
      </w:r>
    </w:p>
  </w:footnote>
  <w:footnote w:id="6">
    <w:p w:rsidR="00CC6E90" w:rsidRDefault="00CC6E90" w:rsidP="00CC6E90">
      <w:pPr>
        <w:spacing w:line="240" w:lineRule="auto"/>
      </w:pPr>
      <w:r>
        <w:rPr>
          <w:rStyle w:val="Refdenotaalpie"/>
        </w:rPr>
        <w:footnoteRef/>
      </w:r>
      <w:r>
        <w:rPr>
          <w:sz w:val="20"/>
          <w:szCs w:val="20"/>
        </w:rPr>
        <w:t xml:space="preserve"> En </w:t>
      </w:r>
      <w:hyperlink r:id="rId1" w:history="1">
        <w:r>
          <w:rPr>
            <w:color w:val="1155CC"/>
            <w:sz w:val="20"/>
            <w:szCs w:val="20"/>
            <w:u w:val="single"/>
          </w:rPr>
          <w:t>https://wp.scielo.org</w:t>
        </w:r>
      </w:hyperlink>
      <w:r>
        <w:rPr>
          <w:sz w:val="20"/>
          <w:szCs w:val="20"/>
        </w:rPr>
        <w:t xml:space="preserve"> se puede encontrar un ejemplo de formulario de conformidad para la ciencia abierta.</w:t>
      </w:r>
    </w:p>
  </w:footnote>
  <w:footnote w:id="7">
    <w:p w:rsidR="00CC6E90" w:rsidRDefault="00CC6E90" w:rsidP="00CC6E90">
      <w:pPr>
        <w:spacing w:line="240" w:lineRule="auto"/>
      </w:pPr>
      <w:r>
        <w:rPr>
          <w:rStyle w:val="Refdenotaalpie"/>
        </w:rPr>
        <w:footnoteRef/>
      </w:r>
      <w:r>
        <w:rPr>
          <w:sz w:val="20"/>
          <w:szCs w:val="20"/>
        </w:rPr>
        <w:t xml:space="preserve"> Se trata de un conjunto de 14 principios agrupados en torno a cuatro grandes temas: </w:t>
      </w:r>
      <w:proofErr w:type="spellStart"/>
      <w:r>
        <w:rPr>
          <w:sz w:val="20"/>
          <w:szCs w:val="20"/>
        </w:rPr>
        <w:t>Focussed</w:t>
      </w:r>
      <w:proofErr w:type="spellEnd"/>
      <w:r>
        <w:rPr>
          <w:sz w:val="20"/>
          <w:szCs w:val="20"/>
        </w:rPr>
        <w:t xml:space="preserve">, </w:t>
      </w:r>
      <w:proofErr w:type="spellStart"/>
      <w:r>
        <w:rPr>
          <w:sz w:val="20"/>
          <w:szCs w:val="20"/>
        </w:rPr>
        <w:t>Appropriate</w:t>
      </w:r>
      <w:proofErr w:type="spellEnd"/>
      <w:r>
        <w:rPr>
          <w:sz w:val="20"/>
          <w:szCs w:val="20"/>
        </w:rPr>
        <w:t xml:space="preserve">, </w:t>
      </w:r>
      <w:proofErr w:type="spellStart"/>
      <w:r>
        <w:rPr>
          <w:sz w:val="20"/>
          <w:szCs w:val="20"/>
        </w:rPr>
        <w:t>Specific</w:t>
      </w:r>
      <w:proofErr w:type="spellEnd"/>
      <w:r>
        <w:rPr>
          <w:sz w:val="20"/>
          <w:szCs w:val="20"/>
        </w:rPr>
        <w:t xml:space="preserve">, and </w:t>
      </w:r>
      <w:proofErr w:type="spellStart"/>
      <w:r>
        <w:rPr>
          <w:sz w:val="20"/>
          <w:szCs w:val="20"/>
        </w:rPr>
        <w:t>Transparent</w:t>
      </w:r>
      <w:proofErr w:type="spellEnd"/>
      <w:r>
        <w:rPr>
          <w:sz w:val="20"/>
          <w:szCs w:val="20"/>
        </w:rPr>
        <w:t xml:space="preserve"> (FAST). Cada principio incluye una designación de los actores a los que se aplica: autores, revisores y a la comunidad (.</w:t>
      </w:r>
      <w:hyperlink r:id="rId2" w:history="1">
        <w:r>
          <w:rPr>
            <w:color w:val="1155CC"/>
            <w:sz w:val="20"/>
            <w:szCs w:val="20"/>
            <w:u w:val="single"/>
          </w:rPr>
          <w:t>https://asapbio.org/fast-principles-for-a-thriving-preprint-feedback-culture</w:t>
        </w:r>
      </w:hyperlink>
      <w:r>
        <w:rPr>
          <w:sz w:val="20"/>
          <w:szCs w:val="20"/>
        </w:rPr>
        <w:t>)</w:t>
      </w:r>
    </w:p>
  </w:footnote>
  <w:footnote w:id="8">
    <w:p w:rsidR="00CC6E90" w:rsidRDefault="00CC6E90" w:rsidP="00CC6E90">
      <w:pPr>
        <w:spacing w:line="240" w:lineRule="auto"/>
      </w:pPr>
      <w:r>
        <w:rPr>
          <w:rStyle w:val="Refdenotaalpie"/>
        </w:rPr>
        <w:footnoteRef/>
      </w:r>
      <w:r>
        <w:rPr>
          <w:sz w:val="20"/>
          <w:szCs w:val="20"/>
        </w:rPr>
        <w:t xml:space="preserve"> Consejos de coordinación </w:t>
      </w:r>
      <w:proofErr w:type="gramStart"/>
      <w:r>
        <w:rPr>
          <w:sz w:val="20"/>
          <w:szCs w:val="20"/>
        </w:rPr>
        <w:t>y  observatorios</w:t>
      </w:r>
      <w:proofErr w:type="gramEnd"/>
      <w:r>
        <w:rPr>
          <w:sz w:val="20"/>
          <w:szCs w:val="20"/>
        </w:rPr>
        <w:t xml:space="preserve"> </w:t>
      </w:r>
    </w:p>
  </w:footnote>
  <w:footnote w:id="9">
    <w:p w:rsidR="00CC6E90" w:rsidRDefault="00CC6E90" w:rsidP="00CC6E90">
      <w:pPr>
        <w:spacing w:line="240" w:lineRule="auto"/>
        <w:jc w:val="both"/>
      </w:pPr>
      <w:r>
        <w:rPr>
          <w:rStyle w:val="Refdenotaalpie"/>
        </w:rPr>
        <w:footnoteRef/>
      </w:r>
      <w:r>
        <w:rPr>
          <w:sz w:val="20"/>
          <w:szCs w:val="20"/>
        </w:rPr>
        <w:t xml:space="preserve"> Normativas y resoluciones que aseguren el proceso de ciencia ciudadana (deben contemplar las relaciones entre </w:t>
      </w:r>
      <w:proofErr w:type="gramStart"/>
      <w:r>
        <w:rPr>
          <w:sz w:val="20"/>
          <w:szCs w:val="20"/>
        </w:rPr>
        <w:t>los  CES</w:t>
      </w:r>
      <w:proofErr w:type="gramEnd"/>
      <w:r>
        <w:rPr>
          <w:sz w:val="20"/>
          <w:szCs w:val="20"/>
        </w:rPr>
        <w:t>, el gobierno, las instituciones de la sociedad y ciudadanía)</w:t>
      </w:r>
    </w:p>
  </w:footnote>
  <w:footnote w:id="10">
    <w:p w:rsidR="00CC6E90" w:rsidRDefault="00CC6E90" w:rsidP="00CC6E90">
      <w:pPr>
        <w:spacing w:line="240" w:lineRule="auto"/>
      </w:pPr>
      <w:r>
        <w:rPr>
          <w:rStyle w:val="Refdenotaalpie"/>
        </w:rPr>
        <w:footnoteRef/>
      </w:r>
      <w:r>
        <w:rPr>
          <w:sz w:val="20"/>
          <w:szCs w:val="20"/>
        </w:rPr>
        <w:t xml:space="preserve"> Se sugiere la lectura para profundización del siguiente </w:t>
      </w:r>
      <w:proofErr w:type="spellStart"/>
      <w:proofErr w:type="gramStart"/>
      <w:r>
        <w:rPr>
          <w:sz w:val="20"/>
          <w:szCs w:val="20"/>
        </w:rPr>
        <w:t>artículo:Ross</w:t>
      </w:r>
      <w:proofErr w:type="gramEnd"/>
      <w:r>
        <w:rPr>
          <w:sz w:val="20"/>
          <w:szCs w:val="20"/>
        </w:rPr>
        <w:t>-Hellauer</w:t>
      </w:r>
      <w:proofErr w:type="spellEnd"/>
      <w:r>
        <w:rPr>
          <w:sz w:val="20"/>
          <w:szCs w:val="20"/>
        </w:rPr>
        <w:t xml:space="preserve"> T, </w:t>
      </w:r>
      <w:proofErr w:type="spellStart"/>
      <w:r>
        <w:rPr>
          <w:sz w:val="20"/>
          <w:szCs w:val="20"/>
        </w:rPr>
        <w:t>Deppe</w:t>
      </w:r>
      <w:proofErr w:type="spellEnd"/>
      <w:r>
        <w:rPr>
          <w:sz w:val="20"/>
          <w:szCs w:val="20"/>
        </w:rPr>
        <w:t xml:space="preserve"> A, Schmidt B (2017) </w:t>
      </w:r>
      <w:proofErr w:type="spellStart"/>
      <w:r>
        <w:rPr>
          <w:sz w:val="20"/>
          <w:szCs w:val="20"/>
        </w:rPr>
        <w:t>Survey</w:t>
      </w:r>
      <w:proofErr w:type="spellEnd"/>
      <w:r>
        <w:rPr>
          <w:sz w:val="20"/>
          <w:szCs w:val="20"/>
        </w:rPr>
        <w:t xml:space="preserve"> </w:t>
      </w:r>
      <w:proofErr w:type="spellStart"/>
      <w:r>
        <w:rPr>
          <w:sz w:val="20"/>
          <w:szCs w:val="20"/>
        </w:rPr>
        <w:t>on</w:t>
      </w:r>
      <w:proofErr w:type="spellEnd"/>
      <w:r>
        <w:rPr>
          <w:sz w:val="20"/>
          <w:szCs w:val="20"/>
        </w:rPr>
        <w:t xml:space="preserve"> open peer </w:t>
      </w:r>
      <w:proofErr w:type="spellStart"/>
      <w:r>
        <w:rPr>
          <w:sz w:val="20"/>
          <w:szCs w:val="20"/>
        </w:rPr>
        <w:t>review</w:t>
      </w:r>
      <w:proofErr w:type="spellEnd"/>
      <w:r>
        <w:rPr>
          <w:sz w:val="20"/>
          <w:szCs w:val="20"/>
        </w:rPr>
        <w:t xml:space="preserve">: </w:t>
      </w:r>
      <w:proofErr w:type="spellStart"/>
      <w:r>
        <w:rPr>
          <w:sz w:val="20"/>
          <w:szCs w:val="20"/>
        </w:rPr>
        <w:t>Attitudes</w:t>
      </w:r>
      <w:proofErr w:type="spellEnd"/>
      <w:r>
        <w:rPr>
          <w:sz w:val="20"/>
          <w:szCs w:val="20"/>
        </w:rPr>
        <w:t xml:space="preserve"> and </w:t>
      </w:r>
      <w:proofErr w:type="spellStart"/>
      <w:r>
        <w:rPr>
          <w:sz w:val="20"/>
          <w:szCs w:val="20"/>
        </w:rPr>
        <w:t>experience</w:t>
      </w:r>
      <w:proofErr w:type="spellEnd"/>
      <w:r>
        <w:rPr>
          <w:sz w:val="20"/>
          <w:szCs w:val="20"/>
        </w:rPr>
        <w:t xml:space="preserve"> </w:t>
      </w:r>
      <w:proofErr w:type="spellStart"/>
      <w:r>
        <w:rPr>
          <w:sz w:val="20"/>
          <w:szCs w:val="20"/>
        </w:rPr>
        <w:t>amongst</w:t>
      </w:r>
      <w:proofErr w:type="spellEnd"/>
      <w:r>
        <w:rPr>
          <w:sz w:val="20"/>
          <w:szCs w:val="20"/>
        </w:rPr>
        <w:t xml:space="preserve"> </w:t>
      </w:r>
      <w:proofErr w:type="spellStart"/>
      <w:r>
        <w:rPr>
          <w:sz w:val="20"/>
          <w:szCs w:val="20"/>
        </w:rPr>
        <w:t>editors</w:t>
      </w:r>
      <w:proofErr w:type="spellEnd"/>
      <w:r>
        <w:rPr>
          <w:sz w:val="20"/>
          <w:szCs w:val="20"/>
        </w:rPr>
        <w:t xml:space="preserve">, </w:t>
      </w:r>
      <w:proofErr w:type="spellStart"/>
      <w:r>
        <w:rPr>
          <w:sz w:val="20"/>
          <w:szCs w:val="20"/>
        </w:rPr>
        <w:t>authors</w:t>
      </w:r>
      <w:proofErr w:type="spellEnd"/>
      <w:r>
        <w:rPr>
          <w:sz w:val="20"/>
          <w:szCs w:val="20"/>
        </w:rPr>
        <w:t xml:space="preserve"> and </w:t>
      </w:r>
      <w:proofErr w:type="spellStart"/>
      <w:r>
        <w:rPr>
          <w:sz w:val="20"/>
          <w:szCs w:val="20"/>
        </w:rPr>
        <w:t>reviewers</w:t>
      </w:r>
      <w:proofErr w:type="spellEnd"/>
      <w:r>
        <w:rPr>
          <w:sz w:val="20"/>
          <w:szCs w:val="20"/>
        </w:rPr>
        <w:t xml:space="preserve">. </w:t>
      </w:r>
      <w:proofErr w:type="spellStart"/>
      <w:r>
        <w:rPr>
          <w:sz w:val="20"/>
          <w:szCs w:val="20"/>
        </w:rPr>
        <w:t>PLoS</w:t>
      </w:r>
      <w:proofErr w:type="spellEnd"/>
      <w:r>
        <w:rPr>
          <w:sz w:val="20"/>
          <w:szCs w:val="20"/>
        </w:rPr>
        <w:t xml:space="preserve"> ONE 12(12): e0189311. https://doi.org/10.1371/journal.pone.018931.</w:t>
      </w:r>
    </w:p>
  </w:footnote>
  <w:footnote w:id="11">
    <w:p w:rsidR="00CC6E90" w:rsidRDefault="00CC6E90" w:rsidP="00CC6E90">
      <w:pPr>
        <w:spacing w:line="240" w:lineRule="auto"/>
      </w:pPr>
      <w:r>
        <w:rPr>
          <w:rStyle w:val="Refdenotaalpie"/>
        </w:rPr>
        <w:footnoteRef/>
      </w:r>
      <w:r>
        <w:rPr>
          <w:sz w:val="20"/>
          <w:szCs w:val="20"/>
        </w:rPr>
        <w:t xml:space="preserve"> Significa que los datos deben ser: </w:t>
      </w:r>
      <w:proofErr w:type="gramStart"/>
      <w:r>
        <w:rPr>
          <w:sz w:val="20"/>
          <w:szCs w:val="20"/>
        </w:rPr>
        <w:t xml:space="preserve">Localizables( </w:t>
      </w:r>
      <w:proofErr w:type="spellStart"/>
      <w:r>
        <w:rPr>
          <w:sz w:val="20"/>
          <w:szCs w:val="20"/>
          <w:u w:val="single"/>
        </w:rPr>
        <w:t>F</w:t>
      </w:r>
      <w:r>
        <w:rPr>
          <w:sz w:val="20"/>
          <w:szCs w:val="20"/>
        </w:rPr>
        <w:t>indable</w:t>
      </w:r>
      <w:proofErr w:type="spellEnd"/>
      <w:proofErr w:type="gramEnd"/>
      <w:r>
        <w:rPr>
          <w:sz w:val="20"/>
          <w:szCs w:val="20"/>
        </w:rPr>
        <w:t>), Accesibles (</w:t>
      </w:r>
      <w:proofErr w:type="spellStart"/>
      <w:r>
        <w:rPr>
          <w:sz w:val="20"/>
          <w:szCs w:val="20"/>
          <w:u w:val="single"/>
        </w:rPr>
        <w:t>A</w:t>
      </w:r>
      <w:r>
        <w:rPr>
          <w:sz w:val="20"/>
          <w:szCs w:val="20"/>
        </w:rPr>
        <w:t>ccessible</w:t>
      </w:r>
      <w:proofErr w:type="spellEnd"/>
      <w:r>
        <w:rPr>
          <w:sz w:val="20"/>
          <w:szCs w:val="20"/>
        </w:rPr>
        <w:t>), Interoperables (</w:t>
      </w:r>
      <w:r>
        <w:rPr>
          <w:sz w:val="20"/>
          <w:szCs w:val="20"/>
          <w:u w:val="single"/>
        </w:rPr>
        <w:t>I</w:t>
      </w:r>
      <w:r>
        <w:rPr>
          <w:sz w:val="20"/>
          <w:szCs w:val="20"/>
        </w:rPr>
        <w:t>nteroperable) y Reutilizables (</w:t>
      </w:r>
      <w:r>
        <w:rPr>
          <w:sz w:val="20"/>
          <w:szCs w:val="20"/>
          <w:u w:val="single"/>
        </w:rPr>
        <w:t>R</w:t>
      </w:r>
      <w:r>
        <w:rPr>
          <w:sz w:val="20"/>
          <w:szCs w:val="20"/>
        </w:rPr>
        <w:t xml:space="preserve">eusable) por las siglas en inglés. Mayor información en: </w:t>
      </w:r>
      <w:hyperlink r:id="rId3" w:history="1">
        <w:r>
          <w:rPr>
            <w:color w:val="1155CC"/>
            <w:sz w:val="20"/>
            <w:szCs w:val="20"/>
            <w:u w:val="single"/>
          </w:rPr>
          <w:t>https://www.go-fair.org/wp-content/uploads/2022/01/FAIRPrinciples_overview.pdf</w:t>
        </w:r>
      </w:hyperlink>
      <w:r>
        <w:rPr>
          <w:sz w:val="20"/>
          <w:szCs w:val="20"/>
        </w:rPr>
        <w:t xml:space="preserve"> </w:t>
      </w:r>
    </w:p>
  </w:footnote>
  <w:footnote w:id="12">
    <w:p w:rsidR="00CC6E90" w:rsidRDefault="00CC6E90" w:rsidP="00CC6E90">
      <w:pPr>
        <w:spacing w:line="240" w:lineRule="auto"/>
      </w:pPr>
      <w:r>
        <w:rPr>
          <w:rStyle w:val="Refdenotaalpie"/>
        </w:rPr>
        <w:footnoteRef/>
      </w:r>
      <w:r>
        <w:rPr>
          <w:sz w:val="20"/>
          <w:szCs w:val="20"/>
        </w:rPr>
        <w:t xml:space="preserve"> Se relacionan una lista de servidores de </w:t>
      </w:r>
      <w:proofErr w:type="spellStart"/>
      <w:r>
        <w:rPr>
          <w:sz w:val="20"/>
          <w:szCs w:val="20"/>
        </w:rPr>
        <w:t>preprints</w:t>
      </w:r>
      <w:proofErr w:type="spellEnd"/>
      <w:r>
        <w:rPr>
          <w:sz w:val="20"/>
          <w:szCs w:val="20"/>
        </w:rPr>
        <w:t xml:space="preserve"> para su uso en la revisión abierta por pares (</w:t>
      </w:r>
      <w:hyperlink r:id="rId4" w:history="1">
        <w:r>
          <w:rPr>
            <w:color w:val="1155CC"/>
            <w:sz w:val="20"/>
            <w:szCs w:val="20"/>
            <w:u w:val="single"/>
          </w:rPr>
          <w:t>https://asapbio.org/preprint-servers</w:t>
        </w:r>
      </w:hyperlink>
      <w:r>
        <w:rPr>
          <w:sz w:val="20"/>
          <w:szCs w:val="20"/>
        </w:rPr>
        <w:t xml:space="preserve"> )</w:t>
      </w:r>
    </w:p>
  </w:footnote>
  <w:footnote w:id="13">
    <w:p w:rsidR="00CC6E90" w:rsidRDefault="00CC6E90" w:rsidP="00CC6E90">
      <w:pPr>
        <w:spacing w:line="240" w:lineRule="auto"/>
      </w:pPr>
      <w:r>
        <w:rPr>
          <w:rStyle w:val="Refdenotaalpie"/>
        </w:rPr>
        <w:footnoteRef/>
      </w:r>
      <w:r>
        <w:rPr>
          <w:sz w:val="20"/>
          <w:szCs w:val="20"/>
        </w:rPr>
        <w:t xml:space="preserve"> Estructuras, redes y personas concretas de la sociedad </w:t>
      </w:r>
    </w:p>
  </w:footnote>
  <w:footnote w:id="14">
    <w:p w:rsidR="00CC6E90" w:rsidRDefault="00CC6E90" w:rsidP="00CC6E90">
      <w:pPr>
        <w:spacing w:line="240" w:lineRule="auto"/>
      </w:pPr>
      <w:r>
        <w:rPr>
          <w:rStyle w:val="Refdenotaalpie"/>
        </w:rPr>
        <w:footnoteRef/>
      </w:r>
      <w:r>
        <w:rPr>
          <w:sz w:val="20"/>
          <w:szCs w:val="20"/>
        </w:rPr>
        <w:t xml:space="preserve"> Publicado en 2021 por la Organización de las Naciones Unidas para la Educación, la Ciencia y la Cultura, 7, place de </w:t>
      </w:r>
      <w:proofErr w:type="spellStart"/>
      <w:r>
        <w:rPr>
          <w:sz w:val="20"/>
          <w:szCs w:val="20"/>
        </w:rPr>
        <w:t>Fontenoy</w:t>
      </w:r>
      <w:proofErr w:type="spellEnd"/>
      <w:r>
        <w:rPr>
          <w:sz w:val="20"/>
          <w:szCs w:val="20"/>
        </w:rPr>
        <w:t>, 75352 París 07 SP, Francia</w:t>
      </w:r>
    </w:p>
  </w:footnote>
  <w:footnote w:id="15">
    <w:p w:rsidR="00CC6E90" w:rsidRDefault="00CC6E90" w:rsidP="00CC6E90">
      <w:pPr>
        <w:spacing w:line="240" w:lineRule="auto"/>
      </w:pPr>
      <w:r>
        <w:rPr>
          <w:rStyle w:val="Refdenotaalpie"/>
        </w:rPr>
        <w:footnoteRef/>
      </w:r>
      <w:r>
        <w:rPr>
          <w:sz w:val="20"/>
          <w:szCs w:val="20"/>
        </w:rPr>
        <w:t xml:space="preserve"> Publicado en 2019 por la Organización de las Naciones Unidas para la Educación, la Ciencia y la Cultura, Paris, Francia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ED3"/>
    <w:multiLevelType w:val="multilevel"/>
    <w:tmpl w:val="DE86684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276514BA"/>
    <w:multiLevelType w:val="multilevel"/>
    <w:tmpl w:val="A3962E0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4E3E5D8F"/>
    <w:multiLevelType w:val="multilevel"/>
    <w:tmpl w:val="1116C2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A1929C3"/>
    <w:multiLevelType w:val="multilevel"/>
    <w:tmpl w:val="B70E0D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90"/>
    <w:rsid w:val="007A436B"/>
    <w:rsid w:val="00B33116"/>
    <w:rsid w:val="00B86B66"/>
    <w:rsid w:val="00CC6E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9D2FA"/>
  <w15:chartTrackingRefBased/>
  <w15:docId w15:val="{3518A5A6-FE9C-45F6-BF45-ED51B284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E90"/>
    <w:pPr>
      <w:suppressAutoHyphens/>
      <w:autoSpaceDN w:val="0"/>
      <w:spacing w:line="256" w:lineRule="auto"/>
      <w:textAlignment w:val="baseline"/>
    </w:pPr>
    <w:rPr>
      <w:rFonts w:ascii="Calibri" w:eastAsia="Calibri" w:hAnsi="Calibri" w:cs="Times New Roman"/>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C6E90"/>
    <w:rPr>
      <w:color w:val="0563C1"/>
      <w:u w:val="single"/>
    </w:rPr>
  </w:style>
  <w:style w:type="character" w:customStyle="1" w:styleId="y2iqfc">
    <w:name w:val="y2iqfc"/>
    <w:basedOn w:val="Fuentedeprrafopredeter"/>
    <w:rsid w:val="00CC6E90"/>
  </w:style>
  <w:style w:type="paragraph" w:styleId="NormalWeb">
    <w:name w:val="Normal (Web)"/>
    <w:basedOn w:val="Normal"/>
    <w:rsid w:val="00CC6E90"/>
    <w:pPr>
      <w:spacing w:before="100" w:after="100" w:line="240" w:lineRule="auto"/>
    </w:pPr>
    <w:rPr>
      <w:rFonts w:ascii="Times New Roman" w:eastAsia="Times New Roman" w:hAnsi="Times New Roman"/>
      <w:sz w:val="24"/>
      <w:szCs w:val="24"/>
      <w:lang w:val="es-ES" w:eastAsia="es-ES"/>
    </w:rPr>
  </w:style>
  <w:style w:type="character" w:customStyle="1" w:styleId="markedcontent">
    <w:name w:val="markedcontent"/>
    <w:basedOn w:val="Fuentedeprrafopredeter"/>
    <w:rsid w:val="00CC6E90"/>
  </w:style>
  <w:style w:type="character" w:styleId="Refdenotaalpie">
    <w:name w:val="footnote reference"/>
    <w:basedOn w:val="Fuentedeprrafopredeter"/>
    <w:uiPriority w:val="99"/>
    <w:semiHidden/>
    <w:unhideWhenUsed/>
    <w:rsid w:val="00CC6E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350200">
      <w:bodyDiv w:val="1"/>
      <w:marLeft w:val="0"/>
      <w:marRight w:val="0"/>
      <w:marTop w:val="0"/>
      <w:marBottom w:val="0"/>
      <w:divBdr>
        <w:top w:val="none" w:sz="0" w:space="0" w:color="auto"/>
        <w:left w:val="none" w:sz="0" w:space="0" w:color="auto"/>
        <w:bottom w:val="none" w:sz="0" w:space="0" w:color="auto"/>
        <w:right w:val="none" w:sz="0" w:space="0" w:color="auto"/>
      </w:divBdr>
    </w:div>
    <w:div w:id="17625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abel@upr.edu.c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o-fair.org/wp-content/uploads/2022/01/FAIRPrinciples_overview.pdf" TargetMode="External"/><Relationship Id="rId2" Type="http://schemas.openxmlformats.org/officeDocument/2006/relationships/hyperlink" Target="https://asapbio.org/fast-principles-for-a-thriving-preprint-feedback-culture" TargetMode="External"/><Relationship Id="rId1" Type="http://schemas.openxmlformats.org/officeDocument/2006/relationships/hyperlink" Target="https://wp.scielo.org" TargetMode="External"/><Relationship Id="rId4" Type="http://schemas.openxmlformats.org/officeDocument/2006/relationships/hyperlink" Target="https://asapbio.org/preprint-serve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2210</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Mabel</dc:creator>
  <cp:keywords/>
  <dc:description/>
  <cp:lastModifiedBy>Mabel</cp:lastModifiedBy>
  <cp:revision>2</cp:revision>
  <dcterms:created xsi:type="dcterms:W3CDTF">2024-01-24T18:29:00Z</dcterms:created>
  <dcterms:modified xsi:type="dcterms:W3CDTF">2024-01-24T18:29:00Z</dcterms:modified>
</cp:coreProperties>
</file>